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bookmarkStart w:id="0" w:name="_Toc321147149" w:displacedByCustomXml="next"/>
    <w:bookmarkStart w:id="1" w:name="_Toc318188227" w:displacedByCustomXml="next"/>
    <w:bookmarkStart w:id="2" w:name="_Toc318188327" w:displacedByCustomXml="next"/>
    <w:bookmarkStart w:id="3" w:name="_Toc318189312" w:displacedByCustomXml="next"/>
    <w:bookmarkStart w:id="4" w:name="_Toc321147011" w:displacedByCustomXml="next"/>
    <w:sdt>
      <w:sdtPr>
        <w:rPr>
          <w:rFonts w:ascii="Calibri" w:eastAsia="Times New Roman" w:hAnsi="Calibri" w:cs="Times New Roman"/>
          <w:color w:val="595959" w:themeColor="text1" w:themeTint="A6"/>
          <w:sz w:val="24"/>
          <w:szCs w:val="22"/>
          <w:lang w:eastAsia="en-US"/>
        </w:rPr>
        <w:id w:val="-1431730504"/>
        <w:docPartObj>
          <w:docPartGallery w:val="Cover Pages"/>
          <w:docPartUnique/>
        </w:docPartObj>
      </w:sdtPr>
      <w:sdtEndPr>
        <w:rPr>
          <w:rStyle w:val="CarterdeTtulo1"/>
          <w:rFonts w:asciiTheme="majorHAnsi" w:eastAsiaTheme="majorEastAsia" w:hAnsiTheme="majorHAnsi" w:cstheme="majorBidi"/>
          <w:color w:val="4472C4" w:themeColor="accent1"/>
          <w:sz w:val="30"/>
          <w:szCs w:val="20"/>
          <w:lang w:eastAsia="pt-PT"/>
        </w:rPr>
      </w:sdtEndPr>
      <w:sdtContent>
        <w:p w:rsidR="007311FE" w:rsidRPr="00C414FA" w:rsidRDefault="007311FE" w:rsidP="007311FE">
          <w:pPr>
            <w:pStyle w:val="SemEspaos"/>
            <w:rPr>
              <w:sz w:val="24"/>
            </w:rPr>
          </w:pPr>
          <w:r w:rsidRPr="00C414FA">
            <w:rPr>
              <w:noProof/>
              <w:lang w:val="en-US" w:eastAsia="en-US"/>
            </w:rPr>
            <w:drawing>
              <wp:anchor distT="0" distB="0" distL="114300" distR="114300" simplePos="0" relativeHeight="251659264" behindDoc="1" locked="0" layoutInCell="1" allowOverlap="0" wp14:anchorId="13719027" wp14:editId="06B3DB46">
                <wp:simplePos x="0" y="0"/>
                <wp:positionH relativeFrom="page">
                  <wp:posOffset>1266825</wp:posOffset>
                </wp:positionH>
                <wp:positionV relativeFrom="margin">
                  <wp:posOffset>610870</wp:posOffset>
                </wp:positionV>
                <wp:extent cx="5219065" cy="3914775"/>
                <wp:effectExtent l="285750" t="266700" r="286385" b="276225"/>
                <wp:wrapSquare wrapText="bothSides"/>
                <wp:docPr id="22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19065" cy="39147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ln w="254000" cap="rnd">
                          <a:solidFill>
                            <a:srgbClr val="FFFFFF"/>
                          </a:solidFill>
                        </a:ln>
                        <a:effectLst>
                          <a:outerShdw blurRad="152400" algn="tl" rotWithShape="0">
                            <a:srgbClr val="000000">
                              <a:alpha val="25000"/>
                            </a:srgbClr>
                          </a:outerShdw>
                        </a:effectLst>
                        <a:scene3d>
                          <a:camera prst="orthographicFront"/>
                          <a:lightRig rig="twoPt" dir="t">
                            <a:rot lat="0" lon="0" rev="7800000"/>
                          </a:lightRig>
                        </a:scene3d>
                        <a:sp3d contourW="6350">
                          <a:bevelT w="6350" h="6350"/>
                          <a:contourClr>
                            <a:srgbClr val="C0C0C0"/>
                          </a:contourClr>
                        </a:sp3d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7311FE" w:rsidRPr="00C414FA" w:rsidRDefault="007311FE" w:rsidP="007311FE"/>
        <w:p w:rsidR="007311FE" w:rsidRPr="00C414FA" w:rsidRDefault="007311FE" w:rsidP="007311FE">
          <w:pPr>
            <w:rPr>
              <w:rFonts w:ascii="Times New Roman" w:hAnsi="Times New Roman"/>
              <w:sz w:val="24"/>
            </w:rPr>
          </w:pPr>
        </w:p>
        <w:p w:rsidR="007311FE" w:rsidRPr="00C414FA" w:rsidRDefault="007311FE" w:rsidP="007311FE">
          <w:pPr>
            <w:rPr>
              <w:rFonts w:ascii="Times New Roman" w:hAnsi="Times New Roman"/>
              <w:sz w:val="24"/>
            </w:rPr>
          </w:pPr>
        </w:p>
      </w:sdtContent>
    </w:sdt>
    <w:bookmarkEnd w:id="4"/>
    <w:bookmarkEnd w:id="3"/>
    <w:bookmarkEnd w:id="2"/>
    <w:bookmarkEnd w:id="1"/>
    <w:bookmarkEnd w:id="0"/>
    <w:p w:rsidR="007311FE" w:rsidRPr="00C414FA" w:rsidRDefault="007311FE" w:rsidP="007311FE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0" wp14:anchorId="3CEFBB43" wp14:editId="53EFC0F8">
                <wp:simplePos x="0" y="0"/>
                <wp:positionH relativeFrom="margin">
                  <wp:posOffset>390525</wp:posOffset>
                </wp:positionH>
                <wp:positionV relativeFrom="margin">
                  <wp:posOffset>5493385</wp:posOffset>
                </wp:positionV>
                <wp:extent cx="3943350" cy="1325880"/>
                <wp:effectExtent l="0" t="0" r="0" b="0"/>
                <wp:wrapSquare wrapText="bothSides"/>
                <wp:docPr id="21" name="Caixa de Texto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43350" cy="1325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b/>
                                <w:color w:val="00B050"/>
                              </w:rPr>
                              <w:alias w:val="Título"/>
                              <w:tag w:val=""/>
                              <w:id w:val="-291525294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:rsidR="007311FE" w:rsidRPr="003D0EB9" w:rsidRDefault="007311FE" w:rsidP="007311FE">
                                <w:pPr>
                                  <w:pStyle w:val="Ttulo"/>
                                  <w:jc w:val="center"/>
                                  <w:rPr>
                                    <w:b/>
                                    <w:color w:val="00B050"/>
                                  </w:rPr>
                                </w:pPr>
                                <w:r>
                                  <w:rPr>
                                    <w:b/>
                                    <w:color w:val="00B050"/>
                                  </w:rPr>
                                  <w:t>Política de Inclusão de Pessoas com Deficiência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95000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EFBB43" id="_x0000_t202" coordsize="21600,21600" o:spt="202" path="m,l,21600r21600,l21600,xe">
                <v:stroke joinstyle="miter"/>
                <v:path gradientshapeok="t" o:connecttype="rect"/>
              </v:shapetype>
              <v:shape id="Caixa de Texto 21" o:spid="_x0000_s1026" type="#_x0000_t202" style="position:absolute;left:0;text-align:left;margin-left:30.75pt;margin-top:432.55pt;width:310.5pt;height:104.4pt;z-index:251660288;visibility:visible;mso-wrap-style:square;mso-width-percent:95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95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iviQhwIAAHQFAAAOAAAAZHJzL2Uyb0RvYy54bWysVEtv2zAMvg/YfxB0X5zHWnRGnSJLkWFA&#13;&#10;0BZrh54ZWWqMyqImKbGzXz9KtpOu26XDLjItfqT4+MjLq7bWbC+dr9AUfDIacyaNwLIyTwX//rD6&#13;&#10;cMGZD2BK0GhkwQ/S86v5+3eXjc3lFLeoS+kYOTE+b2zBtyHYPMu82Moa/AitNKRU6GoI9OuestJB&#13;&#10;Q95rnU3H4/OsQVdah0J6T7fXnZLPk3+lpAi3SnkZmC44xRbS6dK5iWc2v4T8yYHdVqIPA/4hihoq&#13;&#10;Q48eXV1DALZz1R+u6ko49KjCSGCdoVKVkCkHymYyfpXN/RasTLlQcbw9lsn/P7fiZn/nWFUWfDrh&#13;&#10;zEBNPVpC1QIrJXuQbUBGCqpSY31O4HtL8NB+xpa6nTL2do3i2RMke4HpDDyhY1Va5er4pXwZGVIj&#13;&#10;Dsfi0xtM0OXs08fZ7IxUgnST2fTs4iK1JzuZW+fDF4k1i0LBHXU3hQD7tQ8xAMgHSHzN4KrSOnVY&#13;&#10;G9YU/Dz6/01DFtrEG5m40ruJeXShJykctIwYbb5JRbVKGcSLxFK51I7tgfgFQkgTUrWSX0JHlKIg&#13;&#10;3mLY409RvcW4y2N4GU04GteVQdd1LA7XKezyeQhZdfi+k77LO5YgtJu258AGywNRwGE3St6KVUXd&#13;&#10;WIMPd+BodqiDtA/CLR1KI1Ude4mzLbqff7uPeKI0aTlraBYL7n/swEnO9FdDZI+DOwhuEDaDYHb1&#13;&#10;Eqn8xF+KJolk4IIeROWwfqQ1sYivkAqMoLcKHgZxGbqNQGtGyMUigWg8LYS1ubdiYHrk1kP7CM72&#13;&#10;BAzE3RscphTyVzzssIkodrELxMZE0ljQrop9oWm0E3f7NRR3x8v/hDoty/kvAAAA//8DAFBLAwQU&#13;&#10;AAYACAAAACEAbCa3mOYAAAAQAQAADwAAAGRycy9kb3ducmV2LnhtbEyPQU/DMAyF70j8h8hIXBBL&#13;&#10;W7RSuqbTxMSRwTouu2WtaQqNUzXZVvj1mBNcLNn+/PxesZxsL044+s6RgngWgUCqXdNRq+Bt93Sb&#13;&#10;gfBBU6N7R6jgCz0sy8uLQueNO9MWT1VoBYuQz7UCE8KQS+lrg1b7mRuQePfuRqsDt2Mrm1GfWdz2&#13;&#10;MomiVFrdEX8wesBHg/VndbQKNt3evt6Y/XNivzcv2Wr6qLa7tVLXV9N6wWW1ABFwCn8X8JuB/UPJ&#13;&#10;xg7uSI0XvYI0njOpIEvnMQgG0izhyYHJ6P7uAWRZyP9Byh8AAAD//wMAUEsBAi0AFAAGAAgAAAAh&#13;&#10;ALaDOJL+AAAA4QEAABMAAAAAAAAAAAAAAAAAAAAAAFtDb250ZW50X1R5cGVzXS54bWxQSwECLQAU&#13;&#10;AAYACAAAACEAOP0h/9YAAACUAQAACwAAAAAAAAAAAAAAAAAvAQAAX3JlbHMvLnJlbHNQSwECLQAU&#13;&#10;AAYACAAAACEAeYr4kIcCAAB0BQAADgAAAAAAAAAAAAAAAAAuAgAAZHJzL2Uyb0RvYy54bWxQSwEC&#13;&#10;LQAUAAYACAAAACEAbCa3mOYAAAAQAQAADwAAAAAAAAAAAAAAAADhBAAAZHJzL2Rvd25yZXYueG1s&#13;&#10;UEsFBgAAAAAEAAQA8wAAAPQFAAAAAA==&#13;&#10;" o:allowoverlap="f" filled="f" stroked="f" strokeweight=".5pt">
                <v:textbox style="mso-fit-shape-to-text:t" inset="0,0,0,0">
                  <w:txbxContent>
                    <w:sdt>
                      <w:sdtPr>
                        <w:rPr>
                          <w:b/>
                          <w:color w:val="00B050"/>
                        </w:rPr>
                        <w:alias w:val="Título"/>
                        <w:tag w:val=""/>
                        <w:id w:val="-291525294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Content>
                        <w:p w:rsidR="007311FE" w:rsidRPr="003D0EB9" w:rsidRDefault="007311FE" w:rsidP="007311FE">
                          <w:pPr>
                            <w:pStyle w:val="Ttulo"/>
                            <w:jc w:val="center"/>
                            <w:rPr>
                              <w:b/>
                              <w:color w:val="00B050"/>
                            </w:rPr>
                          </w:pPr>
                          <w:r>
                            <w:rPr>
                              <w:b/>
                              <w:color w:val="00B050"/>
                            </w:rPr>
                            <w:t>Política de Inclusão de Pessoas com Deficiência</w:t>
                          </w:r>
                        </w:p>
                      </w:sdtContent>
                    </w:sdt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7311FE" w:rsidRPr="00C414FA" w:rsidRDefault="007311FE" w:rsidP="007311FE">
      <w:pPr>
        <w:jc w:val="center"/>
      </w:pPr>
    </w:p>
    <w:p w:rsidR="007311FE" w:rsidRPr="00C414FA" w:rsidRDefault="007311FE" w:rsidP="007311FE">
      <w:pPr>
        <w:jc w:val="center"/>
      </w:pPr>
    </w:p>
    <w:p w:rsidR="007311FE" w:rsidRPr="00C414FA" w:rsidRDefault="007311FE" w:rsidP="007311FE">
      <w:pPr>
        <w:jc w:val="center"/>
      </w:pPr>
    </w:p>
    <w:p w:rsidR="007311FE" w:rsidRDefault="007311FE" w:rsidP="007311FE">
      <w:pPr>
        <w:jc w:val="center"/>
      </w:pPr>
    </w:p>
    <w:p w:rsidR="007311FE" w:rsidRDefault="007311FE" w:rsidP="007311FE">
      <w:pPr>
        <w:jc w:val="center"/>
      </w:pPr>
    </w:p>
    <w:p w:rsidR="007311FE" w:rsidRDefault="007311FE" w:rsidP="007311FE">
      <w:pPr>
        <w:jc w:val="center"/>
      </w:pPr>
    </w:p>
    <w:p w:rsidR="00A35395" w:rsidRDefault="007311FE" w:rsidP="007311FE">
      <w:pPr>
        <w:spacing w:after="900"/>
        <w:jc w:val="center"/>
      </w:pPr>
      <w:r>
        <w:rPr>
          <w:i/>
          <w:iCs/>
          <w:color w:val="00A04A"/>
          <w:sz w:val="28"/>
          <w:szCs w:val="28"/>
        </w:rPr>
        <w:t xml:space="preserve"> </w:t>
      </w:r>
      <w:r w:rsidR="009240DC">
        <w:rPr>
          <w:i/>
          <w:iCs/>
          <w:color w:val="00A04A"/>
          <w:sz w:val="28"/>
          <w:szCs w:val="28"/>
        </w:rPr>
        <w:t>“Nada sobre nós, sem nós”</w:t>
      </w:r>
    </w:p>
    <w:p w:rsidR="00A35395" w:rsidRDefault="00A35395">
      <w:pPr>
        <w:spacing w:after="300"/>
      </w:pPr>
    </w:p>
    <w:p w:rsidR="007311FE" w:rsidRDefault="007311FE">
      <w:pPr>
        <w:spacing w:after="300"/>
      </w:pPr>
    </w:p>
    <w:p w:rsidR="007311FE" w:rsidRDefault="007311FE">
      <w:pPr>
        <w:spacing w:after="300"/>
      </w:pPr>
      <w:bookmarkStart w:id="5" w:name="_GoBack"/>
      <w:bookmarkEnd w:id="5"/>
    </w:p>
    <w:p w:rsidR="00A35395" w:rsidRDefault="009240DC">
      <w:pPr>
        <w:pStyle w:val="Ttulo1"/>
      </w:pPr>
      <w:r>
        <w:lastRenderedPageBreak/>
        <w:t>Lista de Acrónimos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00"/>
        <w:gridCol w:w="7838"/>
      </w:tblGrid>
      <w:tr w:rsidR="00A35395">
        <w:trPr>
          <w:cantSplit/>
          <w:tblHeader/>
        </w:trPr>
        <w:tc>
          <w:tcPr>
            <w:tcW w:w="18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0070C0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Sigla</w:t>
            </w:r>
          </w:p>
        </w:tc>
        <w:tc>
          <w:tcPr>
            <w:tcW w:w="78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0070C0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Significado</w:t>
            </w:r>
          </w:p>
        </w:tc>
      </w:tr>
      <w:tr w:rsidR="00A35395">
        <w:trPr>
          <w:cantSplit/>
        </w:trPr>
        <w:tc>
          <w:tcPr>
            <w:tcW w:w="18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t>CDPD</w:t>
            </w:r>
          </w:p>
        </w:tc>
        <w:tc>
          <w:tcPr>
            <w:tcW w:w="78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Convenção das Nações Unidas sobre os Direitos das Pessoas com Deficiência</w:t>
            </w:r>
          </w:p>
        </w:tc>
      </w:tr>
      <w:tr w:rsidR="00A35395">
        <w:trPr>
          <w:cantSplit/>
        </w:trPr>
        <w:tc>
          <w:tcPr>
            <w:tcW w:w="18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t>CDC</w:t>
            </w:r>
          </w:p>
        </w:tc>
        <w:tc>
          <w:tcPr>
            <w:tcW w:w="78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Convenção das Nações Unidas sobre os Direitos da Criança</w:t>
            </w:r>
          </w:p>
        </w:tc>
      </w:tr>
      <w:tr w:rsidR="00A35395">
        <w:trPr>
          <w:cantSplit/>
        </w:trPr>
        <w:tc>
          <w:tcPr>
            <w:tcW w:w="18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t>EAC</w:t>
            </w:r>
          </w:p>
        </w:tc>
        <w:tc>
          <w:tcPr>
            <w:tcW w:w="78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Espaço Amigo da Criança</w:t>
            </w:r>
          </w:p>
        </w:tc>
      </w:tr>
      <w:tr w:rsidR="00A35395">
        <w:trPr>
          <w:cantSplit/>
        </w:trPr>
        <w:tc>
          <w:tcPr>
            <w:tcW w:w="18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t>FAMOD</w:t>
            </w:r>
          </w:p>
        </w:tc>
        <w:tc>
          <w:tcPr>
            <w:tcW w:w="78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Fórum das Associações Moçambicanas de Pessoas com Deficiência</w:t>
            </w:r>
          </w:p>
        </w:tc>
      </w:tr>
      <w:tr w:rsidR="00A35395">
        <w:trPr>
          <w:cantSplit/>
        </w:trPr>
        <w:tc>
          <w:tcPr>
            <w:tcW w:w="18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t>IASC</w:t>
            </w:r>
          </w:p>
        </w:tc>
        <w:tc>
          <w:tcPr>
            <w:tcW w:w="78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 xml:space="preserve">Comité Permanente </w:t>
            </w:r>
            <w:proofErr w:type="spellStart"/>
            <w:r>
              <w:rPr>
                <w:sz w:val="20"/>
                <w:szCs w:val="20"/>
              </w:rPr>
              <w:t>Inter-Agências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Inter-Agency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Standing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Committee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</w:tr>
      <w:tr w:rsidR="00A35395">
        <w:trPr>
          <w:cantSplit/>
        </w:trPr>
        <w:tc>
          <w:tcPr>
            <w:tcW w:w="18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t>LSM</w:t>
            </w:r>
          </w:p>
        </w:tc>
        <w:tc>
          <w:tcPr>
            <w:tcW w:w="78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Língua de Sinais de Moçambique</w:t>
            </w:r>
          </w:p>
        </w:tc>
      </w:tr>
      <w:tr w:rsidR="00A35395">
        <w:trPr>
          <w:cantSplit/>
        </w:trPr>
        <w:tc>
          <w:tcPr>
            <w:tcW w:w="18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t>M&amp;A</w:t>
            </w:r>
          </w:p>
        </w:tc>
        <w:tc>
          <w:tcPr>
            <w:tcW w:w="78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Monitoria e Avaliação</w:t>
            </w:r>
          </w:p>
        </w:tc>
      </w:tr>
      <w:tr w:rsidR="00A35395">
        <w:trPr>
          <w:cantSplit/>
        </w:trPr>
        <w:tc>
          <w:tcPr>
            <w:tcW w:w="18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t>OPD</w:t>
            </w:r>
          </w:p>
        </w:tc>
        <w:tc>
          <w:tcPr>
            <w:tcW w:w="78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Organização de Pessoas com Deficiência</w:t>
            </w:r>
          </w:p>
        </w:tc>
      </w:tr>
      <w:tr w:rsidR="00A35395">
        <w:trPr>
          <w:cantSplit/>
        </w:trPr>
        <w:tc>
          <w:tcPr>
            <w:tcW w:w="18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t>PSEA</w:t>
            </w:r>
          </w:p>
        </w:tc>
        <w:tc>
          <w:tcPr>
            <w:tcW w:w="78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Prevenção da Exploração e Abuso Sexual</w:t>
            </w:r>
          </w:p>
        </w:tc>
      </w:tr>
      <w:tr w:rsidR="00A35395">
        <w:trPr>
          <w:cantSplit/>
        </w:trPr>
        <w:tc>
          <w:tcPr>
            <w:tcW w:w="18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t>RH</w:t>
            </w:r>
          </w:p>
        </w:tc>
        <w:tc>
          <w:tcPr>
            <w:tcW w:w="78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Recursos Humanos</w:t>
            </w:r>
          </w:p>
        </w:tc>
      </w:tr>
      <w:tr w:rsidR="00A35395">
        <w:trPr>
          <w:cantSplit/>
        </w:trPr>
        <w:tc>
          <w:tcPr>
            <w:tcW w:w="18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t>VBG</w:t>
            </w:r>
          </w:p>
        </w:tc>
        <w:tc>
          <w:tcPr>
            <w:tcW w:w="78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Violência Baseada no Género</w:t>
            </w:r>
          </w:p>
        </w:tc>
      </w:tr>
      <w:tr w:rsidR="00A35395">
        <w:trPr>
          <w:cantSplit/>
        </w:trPr>
        <w:tc>
          <w:tcPr>
            <w:tcW w:w="18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t>WG</w:t>
            </w:r>
          </w:p>
        </w:tc>
        <w:tc>
          <w:tcPr>
            <w:tcW w:w="78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 xml:space="preserve">Grupo de Washington sobre Estatísticas da Deficiência (Washington </w:t>
            </w:r>
            <w:proofErr w:type="spellStart"/>
            <w:r>
              <w:rPr>
                <w:sz w:val="20"/>
                <w:szCs w:val="20"/>
              </w:rPr>
              <w:t>Group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</w:tr>
    </w:tbl>
    <w:p w:rsidR="00A35395" w:rsidRDefault="009240DC">
      <w:r>
        <w:br w:type="page"/>
      </w:r>
    </w:p>
    <w:p w:rsidR="00A35395" w:rsidRDefault="009240DC" w:rsidP="000A16D9">
      <w:pPr>
        <w:pStyle w:val="Ttulo1"/>
        <w:tabs>
          <w:tab w:val="left" w:pos="5410"/>
        </w:tabs>
      </w:pPr>
      <w:r>
        <w:lastRenderedPageBreak/>
        <w:t>1. Declaração de Compromisso</w:t>
      </w:r>
      <w:r w:rsidR="000A16D9">
        <w:tab/>
      </w:r>
    </w:p>
    <w:p w:rsidR="00A35395" w:rsidRDefault="009240DC">
      <w:pPr>
        <w:spacing w:after="140" w:line="288" w:lineRule="auto"/>
        <w:jc w:val="both"/>
      </w:pPr>
      <w:r>
        <w:t xml:space="preserve">A Associação </w:t>
      </w:r>
      <w:proofErr w:type="spellStart"/>
      <w:r>
        <w:t>SolidarChild</w:t>
      </w:r>
      <w:proofErr w:type="spellEnd"/>
      <w:r>
        <w:t xml:space="preserve"> acredita que todas as crianças, jovens, mulheres e homens têm o mesmo valor e os mesmos direitos. As pessoas com deficiência — e, em particular, as crianças e raparigas com deficiência — estão entre as pessoas mais expostas à exclusão, à violência, à pobreza e à falta de acesso a serviços, sobretudo em contextos de conflito e deslocação como o que vivemos em Cabo Delgado.</w:t>
      </w:r>
    </w:p>
    <w:p w:rsidR="00A35395" w:rsidRDefault="009240DC">
      <w:pPr>
        <w:spacing w:after="140" w:line="288" w:lineRule="auto"/>
        <w:jc w:val="both"/>
      </w:pPr>
      <w:r>
        <w:t xml:space="preserve">Com esta política, a </w:t>
      </w:r>
      <w:proofErr w:type="spellStart"/>
      <w:r>
        <w:t>SolidarChild</w:t>
      </w:r>
      <w:proofErr w:type="spellEnd"/>
      <w:r>
        <w:t xml:space="preserve"> compromete-se a garantir que as pessoas com deficiência participam, beneficiam e contribuem, em igualdade de condições, para todo o nosso trabalho: nos nossos programas e na resposta humanitária, nos nossos escritórios e equipas, nas nossas parcerias e na forma como comunicamos. Reconhecemos que a deficiência resulta da </w:t>
      </w:r>
      <w:proofErr w:type="spellStart"/>
      <w:r>
        <w:t>interacção</w:t>
      </w:r>
      <w:proofErr w:type="spellEnd"/>
      <w:r>
        <w:t xml:space="preserve"> entre a pessoa e as barreiras que a sociedade coloca, e assumimos a responsabilidade de identificar e remover essas barreiras.</w:t>
      </w:r>
    </w:p>
    <w:p w:rsidR="00A35395" w:rsidRDefault="009240DC">
      <w:pPr>
        <w:spacing w:after="140" w:line="288" w:lineRule="auto"/>
        <w:jc w:val="both"/>
      </w:pPr>
      <w:r>
        <w:t xml:space="preserve">Assumimos o princípio “Nada sobre nós, sem nós”: as pessoas com deficiência e as suas organizações serão ouvidas e envolvidas nas decisões que as </w:t>
      </w:r>
      <w:proofErr w:type="spellStart"/>
      <w:r>
        <w:t>afectam</w:t>
      </w:r>
      <w:proofErr w:type="spellEnd"/>
      <w:r>
        <w:t>.</w:t>
      </w:r>
    </w:p>
    <w:p w:rsidR="00A35395" w:rsidRDefault="009240DC">
      <w:pPr>
        <w:pStyle w:val="Ttulo1"/>
      </w:pPr>
      <w:r>
        <w:t>2. Introdução e Fundamentação</w:t>
      </w:r>
    </w:p>
    <w:p w:rsidR="00A35395" w:rsidRDefault="009240DC">
      <w:pPr>
        <w:spacing w:after="140" w:line="288" w:lineRule="auto"/>
        <w:jc w:val="both"/>
      </w:pPr>
      <w:r>
        <w:t>Segundo a Organização Mundial da Saúde, cerca de 16% da população mundial — aproximadamente 1,3 mil milhões de pessoas — vive com alguma forma de deficiência significativa. Em contextos de crise humanitária, as pessoas com deficiência enfrentam riscos acrescidos: têm mais dificuldade em fugir do perigo, perdem com frequência as suas ajudas técnicas e redes de apoio, são muitas vezes esquecidas nos registos e distribuições e estão mais expostas à violência, à negligência e ao abuso.</w:t>
      </w:r>
    </w:p>
    <w:p w:rsidR="00A35395" w:rsidRDefault="009240DC">
      <w:pPr>
        <w:spacing w:after="140" w:line="288" w:lineRule="auto"/>
        <w:jc w:val="both"/>
      </w:pPr>
      <w:r>
        <w:t>As crianças com deficiência enfrentam uma dupla vulnerabilidade. Estão mais expostas à violência, ao abandono, ao estigma e à exclusão escolar, e podem ter necessidades específicas de nutrição e de cuidados que nem sempre são consideradas. As raparigas com deficiência enfrentam ainda riscos maiores de violência sexual, de uniões prematuras e de exclusão.</w:t>
      </w:r>
    </w:p>
    <w:p w:rsidR="00A35395" w:rsidRDefault="009240DC">
      <w:pPr>
        <w:spacing w:after="140" w:line="288" w:lineRule="auto"/>
        <w:jc w:val="both"/>
      </w:pPr>
      <w:r>
        <w:t xml:space="preserve">A </w:t>
      </w:r>
      <w:proofErr w:type="spellStart"/>
      <w:r>
        <w:t>SolidarChild</w:t>
      </w:r>
      <w:proofErr w:type="spellEnd"/>
      <w:r>
        <w:t xml:space="preserve"> trabalha em Cabo Delgado — nomeadamente nos distritos de </w:t>
      </w:r>
      <w:proofErr w:type="spellStart"/>
      <w:r>
        <w:t>Macomia</w:t>
      </w:r>
      <w:proofErr w:type="spellEnd"/>
      <w:r>
        <w:t xml:space="preserve">, </w:t>
      </w:r>
      <w:proofErr w:type="spellStart"/>
      <w:r>
        <w:t>Chiúre</w:t>
      </w:r>
      <w:proofErr w:type="spellEnd"/>
      <w:r>
        <w:t xml:space="preserve">, </w:t>
      </w:r>
      <w:proofErr w:type="spellStart"/>
      <w:r>
        <w:t>Pemba</w:t>
      </w:r>
      <w:proofErr w:type="spellEnd"/>
      <w:r>
        <w:t xml:space="preserve"> e </w:t>
      </w:r>
      <w:proofErr w:type="spellStart"/>
      <w:r>
        <w:t>Mecúfi</w:t>
      </w:r>
      <w:proofErr w:type="spellEnd"/>
      <w:r>
        <w:t xml:space="preserve"> — em </w:t>
      </w:r>
      <w:proofErr w:type="spellStart"/>
      <w:r>
        <w:t>protecção</w:t>
      </w:r>
      <w:proofErr w:type="spellEnd"/>
      <w:r>
        <w:t xml:space="preserve"> da criança, prevenção das uniões prematuras, igualdade de género, saúde e nutrição, higiene e dignidade, educação e </w:t>
      </w:r>
      <w:proofErr w:type="spellStart"/>
      <w:r>
        <w:t>acção</w:t>
      </w:r>
      <w:proofErr w:type="spellEnd"/>
      <w:r>
        <w:t xml:space="preserve"> humanitária. Em todas estas áreas, a inclusão das pessoas com deficiência não é uma </w:t>
      </w:r>
      <w:proofErr w:type="spellStart"/>
      <w:r>
        <w:t>actividade</w:t>
      </w:r>
      <w:proofErr w:type="spellEnd"/>
      <w:r>
        <w:t xml:space="preserve"> adicional: é uma condição para que o nosso trabalho chegue, de facto, a quem mais precisa.</w:t>
      </w:r>
    </w:p>
    <w:p w:rsidR="00A35395" w:rsidRDefault="009240DC">
      <w:pPr>
        <w:spacing w:after="140" w:line="288" w:lineRule="auto"/>
        <w:jc w:val="both"/>
      </w:pPr>
      <w:r>
        <w:t xml:space="preserve">Esta política formaliza o compromisso da organização, define regras e responsabilidades claras e alinha a </w:t>
      </w:r>
      <w:proofErr w:type="spellStart"/>
      <w:r>
        <w:t>SolidarChild</w:t>
      </w:r>
      <w:proofErr w:type="spellEnd"/>
      <w:r>
        <w:t xml:space="preserve"> com o quadro legal moçambicano, com os instrumentos internacionais de direitos humanos e com as normas humanitárias de referência.</w:t>
      </w:r>
    </w:p>
    <w:p w:rsidR="00A35395" w:rsidRDefault="009240DC">
      <w:pPr>
        <w:pStyle w:val="Ttulo1"/>
      </w:pPr>
      <w:r>
        <w:t xml:space="preserve">3. </w:t>
      </w:r>
      <w:proofErr w:type="spellStart"/>
      <w:r>
        <w:t>Objectivos</w:t>
      </w:r>
      <w:proofErr w:type="spellEnd"/>
    </w:p>
    <w:p w:rsidR="00A35395" w:rsidRDefault="009240DC">
      <w:pPr>
        <w:pStyle w:val="Ttulo2"/>
      </w:pPr>
      <w:r>
        <w:t xml:space="preserve">3.1 </w:t>
      </w:r>
      <w:proofErr w:type="spellStart"/>
      <w:r>
        <w:t>Objectivo</w:t>
      </w:r>
      <w:proofErr w:type="spellEnd"/>
      <w:r>
        <w:t xml:space="preserve"> geral</w:t>
      </w:r>
    </w:p>
    <w:p w:rsidR="00A35395" w:rsidRDefault="009240DC">
      <w:pPr>
        <w:spacing w:after="140" w:line="288" w:lineRule="auto"/>
        <w:jc w:val="both"/>
      </w:pPr>
      <w:r>
        <w:t xml:space="preserve">Garantir que as pessoas com deficiência, em particular as crianças, adolescentes e mulheres com deficiência, têm acesso igual, digno e seguro aos programas, serviços, oportunidades de emprego e espaços de decisão da Associação </w:t>
      </w:r>
      <w:proofErr w:type="spellStart"/>
      <w:r>
        <w:t>SolidarChild</w:t>
      </w:r>
      <w:proofErr w:type="spellEnd"/>
      <w:r>
        <w:t>.</w:t>
      </w:r>
    </w:p>
    <w:p w:rsidR="00A35395" w:rsidRDefault="009240DC">
      <w:pPr>
        <w:pStyle w:val="Ttulo2"/>
      </w:pPr>
      <w:r>
        <w:lastRenderedPageBreak/>
        <w:t xml:space="preserve">3.2 </w:t>
      </w:r>
      <w:proofErr w:type="spellStart"/>
      <w:r>
        <w:t>Objectivos</w:t>
      </w:r>
      <w:proofErr w:type="spellEnd"/>
      <w:r>
        <w:t xml:space="preserve"> específicos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 xml:space="preserve">Integrar a inclusão da deficiência em todas as fases do ciclo de </w:t>
      </w:r>
      <w:proofErr w:type="spellStart"/>
      <w:r>
        <w:t>projecto</w:t>
      </w:r>
      <w:proofErr w:type="spellEnd"/>
      <w:r>
        <w:t>: diagnóstico, concepção, implementação, monitoria, avaliação e reporte.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>Identificar e remover barreiras atitudinais, físicas, comunicacionais e institucionais que impedem a participação das pessoas com deficiência.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>Promover o emprego, o voluntariado e a participação de pessoas com deficiência na organização, com acomodação razoável.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>Recolher e usar dados desagregados por deficiência, sexo e idade para planear e prestar contas.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>Estabelecer parcerias com organizações de pessoas com deficiência (OPD).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 xml:space="preserve">Reforçar a </w:t>
      </w:r>
      <w:proofErr w:type="spellStart"/>
      <w:r>
        <w:t>protecção</w:t>
      </w:r>
      <w:proofErr w:type="spellEnd"/>
      <w:r>
        <w:t xml:space="preserve"> de crianças e adultos com deficiência contra a violência, o abuso, a exploração e a negligência.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>Desenvolver a capacidade do pessoal, dos voluntários e dos parceiros em matéria de inclusão.</w:t>
      </w:r>
    </w:p>
    <w:p w:rsidR="00A35395" w:rsidRDefault="009240DC">
      <w:pPr>
        <w:pStyle w:val="Ttulo1"/>
      </w:pPr>
      <w:r>
        <w:t>4. Âmbito de Aplicação</w:t>
      </w:r>
    </w:p>
    <w:p w:rsidR="00A35395" w:rsidRDefault="009240DC">
      <w:pPr>
        <w:spacing w:after="140" w:line="288" w:lineRule="auto"/>
        <w:jc w:val="both"/>
      </w:pPr>
      <w:r>
        <w:t>Esta política aplica-se a: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 xml:space="preserve">Todos os membros dos órgãos sociais da Associação </w:t>
      </w:r>
      <w:proofErr w:type="spellStart"/>
      <w:r>
        <w:t>SolidarChild</w:t>
      </w:r>
      <w:proofErr w:type="spellEnd"/>
      <w:r>
        <w:t>;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>Todo o pessoal, independentemente do tipo de contrato, incluindo pessoal a tempo parcial, temporário e estagiários;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 xml:space="preserve">Voluntários, </w:t>
      </w:r>
      <w:proofErr w:type="spellStart"/>
      <w:r>
        <w:t>activistas</w:t>
      </w:r>
      <w:proofErr w:type="spellEnd"/>
      <w:r>
        <w:t xml:space="preserve">, animadores, Pontos Focais de </w:t>
      </w:r>
      <w:proofErr w:type="spellStart"/>
      <w:r>
        <w:t>Protecção</w:t>
      </w:r>
      <w:proofErr w:type="spellEnd"/>
      <w:r>
        <w:t xml:space="preserve"> e consultores ao serviço da organização;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 xml:space="preserve">Parceiros de implementação, fornecedores e prestadores de serviços, nas </w:t>
      </w:r>
      <w:proofErr w:type="spellStart"/>
      <w:r>
        <w:t>actividades</w:t>
      </w:r>
      <w:proofErr w:type="spellEnd"/>
      <w:r>
        <w:t xml:space="preserve"> realizadas em nome ou com fundos da </w:t>
      </w:r>
      <w:proofErr w:type="spellStart"/>
      <w:r>
        <w:t>SolidarChild</w:t>
      </w:r>
      <w:proofErr w:type="spellEnd"/>
      <w:r>
        <w:t>;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 xml:space="preserve">Todos os programas, </w:t>
      </w:r>
      <w:proofErr w:type="spellStart"/>
      <w:r>
        <w:t>projectos</w:t>
      </w:r>
      <w:proofErr w:type="spellEnd"/>
      <w:r>
        <w:t xml:space="preserve">, escritórios, locais de </w:t>
      </w:r>
      <w:proofErr w:type="spellStart"/>
      <w:r>
        <w:t>actividade</w:t>
      </w:r>
      <w:proofErr w:type="spellEnd"/>
      <w:r>
        <w:t>, eventos e comunicações da organização.</w:t>
      </w:r>
    </w:p>
    <w:p w:rsidR="00A35395" w:rsidRDefault="009240DC">
      <w:pPr>
        <w:spacing w:after="140" w:line="288" w:lineRule="auto"/>
        <w:jc w:val="both"/>
      </w:pPr>
      <w:r>
        <w:t xml:space="preserve">Esta política deve ser lida em conjunto com a Política de </w:t>
      </w:r>
      <w:proofErr w:type="spellStart"/>
      <w:r>
        <w:t>Protecção</w:t>
      </w:r>
      <w:proofErr w:type="spellEnd"/>
      <w:r>
        <w:t xml:space="preserve"> da Criança e Salvaguarda, a Política de PSEA, o Código de Conduta, a Política de Género, o Manual de Recursos Humanos e o Manual de </w:t>
      </w:r>
      <w:proofErr w:type="spellStart"/>
      <w:r>
        <w:t>Procurement</w:t>
      </w:r>
      <w:proofErr w:type="spellEnd"/>
      <w:r>
        <w:t xml:space="preserve"> da </w:t>
      </w:r>
      <w:proofErr w:type="spellStart"/>
      <w:r>
        <w:t>SolidarChild</w:t>
      </w:r>
      <w:proofErr w:type="spellEnd"/>
      <w:r>
        <w:t>.</w:t>
      </w:r>
    </w:p>
    <w:p w:rsidR="00A35395" w:rsidRDefault="009240DC">
      <w:pPr>
        <w:pStyle w:val="Ttulo1"/>
      </w:pPr>
      <w:r>
        <w:t>5. Definições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00"/>
        <w:gridCol w:w="7038"/>
      </w:tblGrid>
      <w:tr w:rsidR="00A35395">
        <w:trPr>
          <w:cantSplit/>
          <w:tblHeader/>
        </w:trPr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0070C0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Termo</w:t>
            </w:r>
          </w:p>
        </w:tc>
        <w:tc>
          <w:tcPr>
            <w:tcW w:w="70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0070C0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 xml:space="preserve">Definição adoptada pela </w:t>
            </w:r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SolidarChild</w:t>
            </w:r>
            <w:proofErr w:type="spellEnd"/>
          </w:p>
        </w:tc>
      </w:tr>
      <w:tr w:rsidR="00A35395">
        <w:trPr>
          <w:cantSplit/>
        </w:trPr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t>Pessoa com deficiência</w:t>
            </w:r>
          </w:p>
        </w:tc>
        <w:tc>
          <w:tcPr>
            <w:tcW w:w="70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 xml:space="preserve">Pessoa com incapacidades duradouras físicas, mentais, intelectuais ou sensoriais que, em </w:t>
            </w:r>
            <w:proofErr w:type="spellStart"/>
            <w:r>
              <w:rPr>
                <w:sz w:val="20"/>
                <w:szCs w:val="20"/>
              </w:rPr>
              <w:t>interacção</w:t>
            </w:r>
            <w:proofErr w:type="spellEnd"/>
            <w:r>
              <w:rPr>
                <w:sz w:val="20"/>
                <w:szCs w:val="20"/>
              </w:rPr>
              <w:t xml:space="preserve"> com várias barreiras, podem impedir a sua participação plena e </w:t>
            </w:r>
            <w:proofErr w:type="spellStart"/>
            <w:r>
              <w:rPr>
                <w:sz w:val="20"/>
                <w:szCs w:val="20"/>
              </w:rPr>
              <w:t>efectiva</w:t>
            </w:r>
            <w:proofErr w:type="spellEnd"/>
            <w:r>
              <w:rPr>
                <w:sz w:val="20"/>
                <w:szCs w:val="20"/>
              </w:rPr>
              <w:t xml:space="preserve"> na sociedade em igualdade de condições com as demais (art. 1.º da CDPD).</w:t>
            </w:r>
          </w:p>
        </w:tc>
      </w:tr>
      <w:tr w:rsidR="00A35395">
        <w:trPr>
          <w:cantSplit/>
        </w:trPr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t>Barreiras</w:t>
            </w:r>
          </w:p>
        </w:tc>
        <w:tc>
          <w:tcPr>
            <w:tcW w:w="70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Obstáculos que impedem a participação. Podem ser atitudinais (estigma, preconceito, crenças), físicas/ambientais (escadas, distâncias, casas de banho inacessíveis), comunicacionais (informação só escrita ou só oral) ou institucionais (regras, procedimentos e orçamentos que excluem).</w:t>
            </w:r>
          </w:p>
        </w:tc>
      </w:tr>
      <w:tr w:rsidR="00A35395">
        <w:trPr>
          <w:cantSplit/>
        </w:trPr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t>Inclusão</w:t>
            </w:r>
          </w:p>
        </w:tc>
        <w:tc>
          <w:tcPr>
            <w:tcW w:w="70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 xml:space="preserve">Processo de garantir que as pessoas com deficiência participam </w:t>
            </w:r>
            <w:proofErr w:type="spellStart"/>
            <w:r>
              <w:rPr>
                <w:sz w:val="20"/>
                <w:szCs w:val="20"/>
              </w:rPr>
              <w:t>activamente</w:t>
            </w:r>
            <w:proofErr w:type="spellEnd"/>
            <w:r>
              <w:rPr>
                <w:sz w:val="20"/>
                <w:szCs w:val="20"/>
              </w:rPr>
              <w:t>, são ouvidas e beneficiam em igualdade com as demais, removendo barreiras em vez de exigir que a pessoa se adapte.</w:t>
            </w:r>
          </w:p>
        </w:tc>
      </w:tr>
      <w:tr w:rsidR="00A35395">
        <w:trPr>
          <w:cantSplit/>
        </w:trPr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lastRenderedPageBreak/>
              <w:t>Acessibilidade</w:t>
            </w:r>
          </w:p>
        </w:tc>
        <w:tc>
          <w:tcPr>
            <w:tcW w:w="70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Condições que permitem às pessoas com deficiência aceder, em igualdade, ao espaço físico, aos transportes, à informação, à comunicação e aos serviços.</w:t>
            </w:r>
          </w:p>
        </w:tc>
      </w:tr>
      <w:tr w:rsidR="00A35395">
        <w:trPr>
          <w:cantSplit/>
        </w:trPr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t>Acomodação razoável</w:t>
            </w:r>
          </w:p>
        </w:tc>
        <w:tc>
          <w:tcPr>
            <w:tcW w:w="70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Modificações e ajustes necessários e adequados, que não impõem um encargo desproporcionado, para garantir que uma pessoa com deficiência exerce os seus direitos em igualdade (ex.: horário flexível, intérprete de LSM, mesa adaptada, material em letra ampliada).</w:t>
            </w:r>
          </w:p>
        </w:tc>
      </w:tr>
      <w:tr w:rsidR="00A35395">
        <w:trPr>
          <w:cantSplit/>
        </w:trPr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t>Desenho universal</w:t>
            </w:r>
          </w:p>
        </w:tc>
        <w:tc>
          <w:tcPr>
            <w:tcW w:w="70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Concepção de espaços, produtos, programas e serviços utilizáveis por todas as pessoas, na maior medida possível, sem necessidade de adaptação posterior.</w:t>
            </w:r>
          </w:p>
        </w:tc>
      </w:tr>
      <w:tr w:rsidR="00A35395">
        <w:trPr>
          <w:cantSplit/>
        </w:trPr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t>Abordagem de via dupla</w:t>
            </w:r>
          </w:p>
        </w:tc>
        <w:tc>
          <w:tcPr>
            <w:tcW w:w="70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 xml:space="preserve">Combinação de (1) integração da deficiência em todas as </w:t>
            </w:r>
            <w:proofErr w:type="spellStart"/>
            <w:r>
              <w:rPr>
                <w:sz w:val="20"/>
                <w:szCs w:val="20"/>
              </w:rPr>
              <w:t>actividades</w:t>
            </w:r>
            <w:proofErr w:type="spellEnd"/>
            <w:r>
              <w:rPr>
                <w:sz w:val="20"/>
                <w:szCs w:val="20"/>
              </w:rPr>
              <w:t xml:space="preserve"> gerais e (2) </w:t>
            </w:r>
            <w:proofErr w:type="spellStart"/>
            <w:r>
              <w:rPr>
                <w:sz w:val="20"/>
                <w:szCs w:val="20"/>
              </w:rPr>
              <w:t>acções</w:t>
            </w:r>
            <w:proofErr w:type="spellEnd"/>
            <w:r>
              <w:rPr>
                <w:sz w:val="20"/>
                <w:szCs w:val="20"/>
              </w:rPr>
              <w:t xml:space="preserve"> específicas dirigidas às necessidades particulares das pessoas com deficiência.</w:t>
            </w:r>
          </w:p>
        </w:tc>
      </w:tr>
      <w:tr w:rsidR="00A35395">
        <w:trPr>
          <w:cantSplit/>
        </w:trPr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t>Discriminação com base na deficiência</w:t>
            </w:r>
          </w:p>
        </w:tc>
        <w:tc>
          <w:tcPr>
            <w:tcW w:w="70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Qualquer distinção, exclusão ou restrição com base na deficiência que prejudique o exercício dos direitos, incluindo a recusa de acomodação razoável.</w:t>
            </w:r>
          </w:p>
        </w:tc>
      </w:tr>
      <w:tr w:rsidR="00A35395">
        <w:trPr>
          <w:cantSplit/>
        </w:trPr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t>OPD</w:t>
            </w:r>
          </w:p>
        </w:tc>
        <w:tc>
          <w:tcPr>
            <w:tcW w:w="70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Organização liderada e gerida maioritariamente por pessoas com deficiência, que as representa.</w:t>
            </w:r>
          </w:p>
        </w:tc>
      </w:tr>
      <w:tr w:rsidR="00A35395">
        <w:trPr>
          <w:cantSplit/>
        </w:trPr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t>Criança com deficiência</w:t>
            </w:r>
          </w:p>
        </w:tc>
        <w:tc>
          <w:tcPr>
            <w:tcW w:w="70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Qualquer pessoa com menos de 18 anos que se enquadra na definição de pessoa com deficiência.</w:t>
            </w:r>
          </w:p>
        </w:tc>
      </w:tr>
    </w:tbl>
    <w:p w:rsidR="00A35395" w:rsidRDefault="00A35395">
      <w:pPr>
        <w:spacing w:after="120"/>
      </w:pPr>
    </w:p>
    <w:p w:rsidR="00A35395" w:rsidRDefault="009240DC">
      <w:pPr>
        <w:pStyle w:val="Ttulo1"/>
      </w:pPr>
      <w:r>
        <w:t>6. Quadro Normativo e de Referência</w:t>
      </w:r>
    </w:p>
    <w:p w:rsidR="00A35395" w:rsidRDefault="009240DC">
      <w:pPr>
        <w:spacing w:after="140" w:line="288" w:lineRule="auto"/>
        <w:jc w:val="both"/>
      </w:pPr>
      <w:r>
        <w:t>Esta política baseia-se nos seguintes instrumentos: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00"/>
        <w:gridCol w:w="4300"/>
        <w:gridCol w:w="3838"/>
      </w:tblGrid>
      <w:tr w:rsidR="00A35395">
        <w:trPr>
          <w:cantSplit/>
          <w:tblHeader/>
        </w:trPr>
        <w:tc>
          <w:tcPr>
            <w:tcW w:w="1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0070C0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Nível</w:t>
            </w:r>
          </w:p>
        </w:tc>
        <w:tc>
          <w:tcPr>
            <w:tcW w:w="43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0070C0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Instrumento</w:t>
            </w:r>
          </w:p>
        </w:tc>
        <w:tc>
          <w:tcPr>
            <w:tcW w:w="38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0070C0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Relevância</w:t>
            </w:r>
          </w:p>
        </w:tc>
      </w:tr>
      <w:tr w:rsidR="00A35395">
        <w:trPr>
          <w:cantSplit/>
        </w:trPr>
        <w:tc>
          <w:tcPr>
            <w:tcW w:w="1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Nacional</w:t>
            </w:r>
          </w:p>
        </w:tc>
        <w:tc>
          <w:tcPr>
            <w:tcW w:w="43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Constituição da República de Moçambique</w:t>
            </w:r>
          </w:p>
        </w:tc>
        <w:tc>
          <w:tcPr>
            <w:tcW w:w="38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 xml:space="preserve">Consagra o princípio da igualdade de todos os cidadãos e a </w:t>
            </w:r>
            <w:proofErr w:type="spellStart"/>
            <w:r>
              <w:rPr>
                <w:sz w:val="19"/>
                <w:szCs w:val="19"/>
              </w:rPr>
              <w:t>protecção</w:t>
            </w:r>
            <w:proofErr w:type="spellEnd"/>
            <w:r>
              <w:rPr>
                <w:sz w:val="19"/>
                <w:szCs w:val="19"/>
              </w:rPr>
              <w:t xml:space="preserve"> especial das pessoas com deficiência.</w:t>
            </w:r>
          </w:p>
        </w:tc>
      </w:tr>
      <w:tr w:rsidR="00A35395">
        <w:trPr>
          <w:cantSplit/>
        </w:trPr>
        <w:tc>
          <w:tcPr>
            <w:tcW w:w="1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Nacional</w:t>
            </w:r>
          </w:p>
        </w:tc>
        <w:tc>
          <w:tcPr>
            <w:tcW w:w="43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 xml:space="preserve">Lei n.º 10/2024, de 7 de Junho — Lei de Promoção e </w:t>
            </w:r>
            <w:proofErr w:type="spellStart"/>
            <w:r>
              <w:rPr>
                <w:sz w:val="19"/>
                <w:szCs w:val="19"/>
              </w:rPr>
              <w:t>Protecção</w:t>
            </w:r>
            <w:proofErr w:type="spellEnd"/>
            <w:r>
              <w:rPr>
                <w:sz w:val="19"/>
                <w:szCs w:val="19"/>
              </w:rPr>
              <w:t xml:space="preserve"> dos Direitos da Pessoa com Deficiência</w:t>
            </w:r>
          </w:p>
        </w:tc>
        <w:tc>
          <w:tcPr>
            <w:tcW w:w="38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 xml:space="preserve">Estabelece os direitos, as liberdades e o regime de </w:t>
            </w:r>
            <w:proofErr w:type="spellStart"/>
            <w:r>
              <w:rPr>
                <w:sz w:val="19"/>
                <w:szCs w:val="19"/>
              </w:rPr>
              <w:t>protecção</w:t>
            </w:r>
            <w:proofErr w:type="spellEnd"/>
            <w:r>
              <w:rPr>
                <w:sz w:val="19"/>
                <w:szCs w:val="19"/>
              </w:rPr>
              <w:t xml:space="preserve"> da pessoa com deficiência em Moçambique.</w:t>
            </w:r>
          </w:p>
        </w:tc>
      </w:tr>
      <w:tr w:rsidR="00A35395">
        <w:trPr>
          <w:cantSplit/>
        </w:trPr>
        <w:tc>
          <w:tcPr>
            <w:tcW w:w="1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Nacional</w:t>
            </w:r>
          </w:p>
        </w:tc>
        <w:tc>
          <w:tcPr>
            <w:tcW w:w="43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 xml:space="preserve">Lei n.º 7/2008, de 9 de </w:t>
            </w:r>
            <w:proofErr w:type="gramStart"/>
            <w:r>
              <w:rPr>
                <w:sz w:val="19"/>
                <w:szCs w:val="19"/>
              </w:rPr>
              <w:t>Julho</w:t>
            </w:r>
            <w:proofErr w:type="gramEnd"/>
            <w:r>
              <w:rPr>
                <w:sz w:val="19"/>
                <w:szCs w:val="19"/>
              </w:rPr>
              <w:t xml:space="preserve"> — Lei de Promoção e </w:t>
            </w:r>
            <w:proofErr w:type="spellStart"/>
            <w:r>
              <w:rPr>
                <w:sz w:val="19"/>
                <w:szCs w:val="19"/>
              </w:rPr>
              <w:t>Protecção</w:t>
            </w:r>
            <w:proofErr w:type="spellEnd"/>
            <w:r>
              <w:rPr>
                <w:sz w:val="19"/>
                <w:szCs w:val="19"/>
              </w:rPr>
              <w:t xml:space="preserve"> dos Direitos da Criança</w:t>
            </w:r>
          </w:p>
        </w:tc>
        <w:tc>
          <w:tcPr>
            <w:tcW w:w="38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proofErr w:type="spellStart"/>
            <w:r>
              <w:rPr>
                <w:sz w:val="19"/>
                <w:szCs w:val="19"/>
              </w:rPr>
              <w:t>Protecção</w:t>
            </w:r>
            <w:proofErr w:type="spellEnd"/>
            <w:r>
              <w:rPr>
                <w:sz w:val="19"/>
                <w:szCs w:val="19"/>
              </w:rPr>
              <w:t xml:space="preserve"> especial da criança, incluindo a criança com deficiência.</w:t>
            </w:r>
          </w:p>
        </w:tc>
      </w:tr>
      <w:tr w:rsidR="00A35395">
        <w:trPr>
          <w:cantSplit/>
        </w:trPr>
        <w:tc>
          <w:tcPr>
            <w:tcW w:w="1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Nacional</w:t>
            </w:r>
          </w:p>
        </w:tc>
        <w:tc>
          <w:tcPr>
            <w:tcW w:w="43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Lei do Trabalho em vigor</w:t>
            </w:r>
          </w:p>
        </w:tc>
        <w:tc>
          <w:tcPr>
            <w:tcW w:w="38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 xml:space="preserve">Igualdade no emprego e </w:t>
            </w:r>
            <w:proofErr w:type="spellStart"/>
            <w:r>
              <w:rPr>
                <w:sz w:val="19"/>
                <w:szCs w:val="19"/>
              </w:rPr>
              <w:t>protecção</w:t>
            </w:r>
            <w:proofErr w:type="spellEnd"/>
            <w:r>
              <w:rPr>
                <w:sz w:val="19"/>
                <w:szCs w:val="19"/>
              </w:rPr>
              <w:t xml:space="preserve"> do trabalhador com deficiência.</w:t>
            </w:r>
          </w:p>
        </w:tc>
      </w:tr>
      <w:tr w:rsidR="00A35395">
        <w:trPr>
          <w:cantSplit/>
        </w:trPr>
        <w:tc>
          <w:tcPr>
            <w:tcW w:w="1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Internacional</w:t>
            </w:r>
          </w:p>
        </w:tc>
        <w:tc>
          <w:tcPr>
            <w:tcW w:w="43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Convenção sobre os Direitos das Pessoas com Deficiência (CDPD), ratificada por Moçambique</w:t>
            </w:r>
          </w:p>
        </w:tc>
        <w:tc>
          <w:tcPr>
            <w:tcW w:w="38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Referência principal; art. 11.º (situações de risco e emergências humanitárias).</w:t>
            </w:r>
          </w:p>
        </w:tc>
      </w:tr>
      <w:tr w:rsidR="00A35395">
        <w:trPr>
          <w:cantSplit/>
        </w:trPr>
        <w:tc>
          <w:tcPr>
            <w:tcW w:w="1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Internacional</w:t>
            </w:r>
          </w:p>
        </w:tc>
        <w:tc>
          <w:tcPr>
            <w:tcW w:w="43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Convenção sobre os Direitos da Criança (CDC)</w:t>
            </w:r>
          </w:p>
        </w:tc>
        <w:tc>
          <w:tcPr>
            <w:tcW w:w="38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Art. 23.º — direitos da criança com deficiência.</w:t>
            </w:r>
          </w:p>
        </w:tc>
      </w:tr>
      <w:tr w:rsidR="00A35395">
        <w:trPr>
          <w:cantSplit/>
        </w:trPr>
        <w:tc>
          <w:tcPr>
            <w:tcW w:w="1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Regional</w:t>
            </w:r>
          </w:p>
        </w:tc>
        <w:tc>
          <w:tcPr>
            <w:tcW w:w="43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Carta Africana dos Direitos e do Bem-Estar da Criança; Protocolo à Carta Africana sobre os Direitos das Pessoas com Deficiência em África</w:t>
            </w:r>
          </w:p>
        </w:tc>
        <w:tc>
          <w:tcPr>
            <w:tcW w:w="38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 xml:space="preserve">Referências africanas de </w:t>
            </w:r>
            <w:proofErr w:type="spellStart"/>
            <w:r>
              <w:rPr>
                <w:sz w:val="19"/>
                <w:szCs w:val="19"/>
              </w:rPr>
              <w:t>protecção</w:t>
            </w:r>
            <w:proofErr w:type="spellEnd"/>
            <w:r>
              <w:rPr>
                <w:sz w:val="19"/>
                <w:szCs w:val="19"/>
              </w:rPr>
              <w:t xml:space="preserve"> e inclusão.</w:t>
            </w:r>
          </w:p>
        </w:tc>
      </w:tr>
      <w:tr w:rsidR="00A35395">
        <w:trPr>
          <w:cantSplit/>
        </w:trPr>
        <w:tc>
          <w:tcPr>
            <w:tcW w:w="1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lastRenderedPageBreak/>
              <w:t>Humanitário</w:t>
            </w:r>
          </w:p>
        </w:tc>
        <w:tc>
          <w:tcPr>
            <w:tcW w:w="43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proofErr w:type="spellStart"/>
            <w:r>
              <w:rPr>
                <w:sz w:val="19"/>
                <w:szCs w:val="19"/>
              </w:rPr>
              <w:t>Directrizes</w:t>
            </w:r>
            <w:proofErr w:type="spellEnd"/>
            <w:r>
              <w:rPr>
                <w:sz w:val="19"/>
                <w:szCs w:val="19"/>
              </w:rPr>
              <w:t xml:space="preserve"> do IASC sobre a Inclusão de Pessoas com Deficiência na </w:t>
            </w:r>
            <w:proofErr w:type="spellStart"/>
            <w:r>
              <w:rPr>
                <w:sz w:val="19"/>
                <w:szCs w:val="19"/>
              </w:rPr>
              <w:t>Acção</w:t>
            </w:r>
            <w:proofErr w:type="spellEnd"/>
            <w:r>
              <w:rPr>
                <w:sz w:val="19"/>
                <w:szCs w:val="19"/>
              </w:rPr>
              <w:t xml:space="preserve"> Humanitária (2019)</w:t>
            </w:r>
          </w:p>
        </w:tc>
        <w:tc>
          <w:tcPr>
            <w:tcW w:w="38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 xml:space="preserve">Quatro </w:t>
            </w:r>
            <w:proofErr w:type="spellStart"/>
            <w:r>
              <w:rPr>
                <w:sz w:val="19"/>
                <w:szCs w:val="19"/>
              </w:rPr>
              <w:t>acções</w:t>
            </w:r>
            <w:proofErr w:type="spellEnd"/>
            <w:r>
              <w:rPr>
                <w:sz w:val="19"/>
                <w:szCs w:val="19"/>
              </w:rPr>
              <w:t xml:space="preserve"> obrigatórias: participação, remoção de barreiras, capacitação e dados desagregados.</w:t>
            </w:r>
          </w:p>
        </w:tc>
      </w:tr>
      <w:tr w:rsidR="00A35395">
        <w:trPr>
          <w:cantSplit/>
        </w:trPr>
        <w:tc>
          <w:tcPr>
            <w:tcW w:w="1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Humanitário</w:t>
            </w:r>
          </w:p>
        </w:tc>
        <w:tc>
          <w:tcPr>
            <w:tcW w:w="43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 xml:space="preserve">Carta sobre a Inclusão de Pessoas com Deficiência na </w:t>
            </w:r>
            <w:proofErr w:type="spellStart"/>
            <w:r>
              <w:rPr>
                <w:sz w:val="19"/>
                <w:szCs w:val="19"/>
              </w:rPr>
              <w:t>Acção</w:t>
            </w:r>
            <w:proofErr w:type="spellEnd"/>
            <w:r>
              <w:rPr>
                <w:sz w:val="19"/>
                <w:szCs w:val="19"/>
              </w:rPr>
              <w:t xml:space="preserve"> Humanitária (2016); Normas de Inclusão Humanitária para Pessoas Idosas e Pessoas com Deficiência (2018); Normas Esfera; Norma Humanitária Essencial (CHS)</w:t>
            </w:r>
          </w:p>
        </w:tc>
        <w:tc>
          <w:tcPr>
            <w:tcW w:w="38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Normas técnicas e de qualidade aplicáveis à resposta.</w:t>
            </w:r>
          </w:p>
        </w:tc>
      </w:tr>
      <w:tr w:rsidR="00A35395">
        <w:trPr>
          <w:cantSplit/>
        </w:trPr>
        <w:tc>
          <w:tcPr>
            <w:tcW w:w="1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Agenda global</w:t>
            </w:r>
          </w:p>
        </w:tc>
        <w:tc>
          <w:tcPr>
            <w:tcW w:w="43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proofErr w:type="spellStart"/>
            <w:r>
              <w:rPr>
                <w:sz w:val="19"/>
                <w:szCs w:val="19"/>
              </w:rPr>
              <w:t>Objectivos</w:t>
            </w:r>
            <w:proofErr w:type="spellEnd"/>
            <w:r>
              <w:rPr>
                <w:sz w:val="19"/>
                <w:szCs w:val="19"/>
              </w:rPr>
              <w:t xml:space="preserve"> de Desenvolvimento Sustentável — “Não deixar ninguém para trás”</w:t>
            </w:r>
          </w:p>
        </w:tc>
        <w:tc>
          <w:tcPr>
            <w:tcW w:w="38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Compromisso global de inclusão.</w:t>
            </w:r>
          </w:p>
        </w:tc>
      </w:tr>
    </w:tbl>
    <w:p w:rsidR="00A35395" w:rsidRDefault="00A35395">
      <w:pPr>
        <w:spacing w:after="120"/>
      </w:pPr>
    </w:p>
    <w:p w:rsidR="00A35395" w:rsidRDefault="009240DC">
      <w:pPr>
        <w:pStyle w:val="Ttulo1"/>
      </w:pPr>
      <w:r>
        <w:t>7. Princípios Orientadores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rPr>
          <w:b/>
          <w:bCs/>
        </w:rPr>
        <w:t xml:space="preserve">Dignidade e autonomia: </w:t>
      </w:r>
      <w:r>
        <w:t>respeitamos a dignidade inerente de cada pessoa e o seu direito a tomar as suas próprias decisões.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rPr>
          <w:b/>
          <w:bCs/>
        </w:rPr>
        <w:t xml:space="preserve">Não discriminação e igualdade: </w:t>
      </w:r>
      <w:r>
        <w:t>ninguém será excluído, tratado de forma menos favorável ou impedido de participar por causa da deficiência.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rPr>
          <w:b/>
          <w:bCs/>
        </w:rPr>
        <w:t xml:space="preserve">Participação — “Nada sobre nós, sem nós”: </w:t>
      </w:r>
      <w:r>
        <w:t xml:space="preserve">as pessoas com deficiência e as OPD são consultadas e envolvidas nas decisões que as </w:t>
      </w:r>
      <w:proofErr w:type="spellStart"/>
      <w:r>
        <w:t>afectam</w:t>
      </w:r>
      <w:proofErr w:type="spellEnd"/>
      <w:r>
        <w:t>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rPr>
          <w:b/>
          <w:bCs/>
        </w:rPr>
        <w:t xml:space="preserve">Acessibilidade: </w:t>
      </w:r>
      <w:r>
        <w:t xml:space="preserve">planeamos os nossos espaços, </w:t>
      </w:r>
      <w:proofErr w:type="spellStart"/>
      <w:r>
        <w:t>actividades</w:t>
      </w:r>
      <w:proofErr w:type="spellEnd"/>
      <w:r>
        <w:t xml:space="preserve"> e informação para que todos possam usá-los desde o início.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rPr>
          <w:b/>
          <w:bCs/>
        </w:rPr>
        <w:t xml:space="preserve">Interesse superior da criança: </w:t>
      </w:r>
      <w:r>
        <w:t>em todas as decisões que envolvam crianças com deficiência, o seu interesse superior é a consideração principal, respeitando as suas capacidades em evolução e o seu direito a ser ouvida.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rPr>
          <w:b/>
          <w:bCs/>
        </w:rPr>
        <w:t xml:space="preserve">Igualdade de género e </w:t>
      </w:r>
      <w:proofErr w:type="spellStart"/>
      <w:r>
        <w:rPr>
          <w:b/>
          <w:bCs/>
        </w:rPr>
        <w:t>interseccionalidade</w:t>
      </w:r>
      <w:proofErr w:type="spellEnd"/>
      <w:r>
        <w:rPr>
          <w:b/>
          <w:bCs/>
        </w:rPr>
        <w:t xml:space="preserve">: </w:t>
      </w:r>
      <w:r>
        <w:t>reconhecemos que as raparigas e mulheres com deficiência, as pessoas deslocadas e as pessoas idosas com deficiência enfrentam discriminações múltiplas.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rPr>
          <w:b/>
          <w:bCs/>
        </w:rPr>
        <w:t xml:space="preserve">Abordagem de via dupla: </w:t>
      </w:r>
      <w:r>
        <w:t xml:space="preserve">integramos a deficiência em todas as </w:t>
      </w:r>
      <w:proofErr w:type="spellStart"/>
      <w:r>
        <w:t>actividades</w:t>
      </w:r>
      <w:proofErr w:type="spellEnd"/>
      <w:r>
        <w:t xml:space="preserve"> e desenvolvemos </w:t>
      </w:r>
      <w:proofErr w:type="spellStart"/>
      <w:r>
        <w:t>acções</w:t>
      </w:r>
      <w:proofErr w:type="spellEnd"/>
      <w:r>
        <w:t xml:space="preserve"> específicas quando necessário.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rPr>
          <w:b/>
          <w:bCs/>
        </w:rPr>
        <w:t xml:space="preserve">Não causar dano e confidencialidade: </w:t>
      </w:r>
      <w:r>
        <w:t>a informação sobre a deficiência de uma pessoa é pessoal e sensível; é recolhida com consentimento, guardada em segurança e usada apenas para melhorar o acesso.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rPr>
          <w:b/>
          <w:bCs/>
        </w:rPr>
        <w:t xml:space="preserve">Prestação de contas: </w:t>
      </w:r>
      <w:r>
        <w:t>medimos e reportamos os nossos progressos e respondemos às reclamações das pessoas que servimos.</w:t>
      </w:r>
    </w:p>
    <w:p w:rsidR="00A35395" w:rsidRDefault="009240DC">
      <w:pPr>
        <w:pStyle w:val="Ttulo1"/>
      </w:pPr>
      <w:r>
        <w:t xml:space="preserve">8. Compromissos da </w:t>
      </w:r>
      <w:proofErr w:type="spellStart"/>
      <w:r>
        <w:t>SolidarChild</w:t>
      </w:r>
      <w:proofErr w:type="spellEnd"/>
    </w:p>
    <w:p w:rsidR="00A35395" w:rsidRDefault="009240DC">
      <w:pPr>
        <w:pStyle w:val="Ttulo2"/>
      </w:pPr>
      <w:r>
        <w:t>8.1 Programas e resposta humanitária</w:t>
      </w:r>
    </w:p>
    <w:p w:rsidR="00A35395" w:rsidRDefault="009240DC">
      <w:pPr>
        <w:spacing w:after="140" w:line="288" w:lineRule="auto"/>
        <w:jc w:val="both"/>
      </w:pPr>
      <w:r>
        <w:t xml:space="preserve">Em todos os </w:t>
      </w:r>
      <w:proofErr w:type="spellStart"/>
      <w:r>
        <w:t>projectos</w:t>
      </w:r>
      <w:proofErr w:type="spellEnd"/>
      <w:r>
        <w:t xml:space="preserve">, a </w:t>
      </w:r>
      <w:proofErr w:type="spellStart"/>
      <w:r>
        <w:t>SolidarChild</w:t>
      </w:r>
      <w:proofErr w:type="spellEnd"/>
      <w:r>
        <w:t xml:space="preserve"> aplicará as quatro </w:t>
      </w:r>
      <w:proofErr w:type="spellStart"/>
      <w:r>
        <w:t>acções</w:t>
      </w:r>
      <w:proofErr w:type="spellEnd"/>
      <w:r>
        <w:t xml:space="preserve"> obrigatórias das </w:t>
      </w:r>
      <w:proofErr w:type="spellStart"/>
      <w:r>
        <w:t>Directrizes</w:t>
      </w:r>
      <w:proofErr w:type="spellEnd"/>
      <w:r>
        <w:t xml:space="preserve"> do IASC: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0"/>
        <w:gridCol w:w="6638"/>
      </w:tblGrid>
      <w:tr w:rsidR="00A35395">
        <w:trPr>
          <w:cantSplit/>
          <w:tblHeader/>
        </w:trPr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0070C0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lastRenderedPageBreak/>
              <w:t>Acção</w:t>
            </w:r>
            <w:proofErr w:type="spellEnd"/>
            <w:r>
              <w:rPr>
                <w:b/>
                <w:bCs/>
                <w:color w:val="FFFFFF"/>
                <w:sz w:val="20"/>
                <w:szCs w:val="20"/>
              </w:rPr>
              <w:t xml:space="preserve"> obrigatória</w:t>
            </w:r>
          </w:p>
        </w:tc>
        <w:tc>
          <w:tcPr>
            <w:tcW w:w="66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0070C0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 xml:space="preserve">O que a </w:t>
            </w:r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SolidarChild</w:t>
            </w:r>
            <w:proofErr w:type="spellEnd"/>
            <w:r>
              <w:rPr>
                <w:b/>
                <w:bCs/>
                <w:color w:val="FFFFFF"/>
                <w:sz w:val="20"/>
                <w:szCs w:val="20"/>
              </w:rPr>
              <w:t xml:space="preserve"> vai fazer</w:t>
            </w:r>
          </w:p>
        </w:tc>
      </w:tr>
      <w:tr w:rsidR="00A35395">
        <w:trPr>
          <w:cantSplit/>
        </w:trPr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t>1. Promover a participação significativa</w:t>
            </w:r>
          </w:p>
        </w:tc>
        <w:tc>
          <w:tcPr>
            <w:tcW w:w="66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 xml:space="preserve">Consultar pessoas com deficiência, cuidadores de crianças com deficiência e OPD no diagnóstico, concepção e avaliação dos </w:t>
            </w:r>
            <w:proofErr w:type="spellStart"/>
            <w:r>
              <w:rPr>
                <w:sz w:val="20"/>
                <w:szCs w:val="20"/>
              </w:rPr>
              <w:t>projectos</w:t>
            </w:r>
            <w:proofErr w:type="spellEnd"/>
            <w:r>
              <w:rPr>
                <w:sz w:val="20"/>
                <w:szCs w:val="20"/>
              </w:rPr>
              <w:t>; garantir a sua representação em comités comunitários e mecanismos de feedback.</w:t>
            </w:r>
          </w:p>
        </w:tc>
      </w:tr>
      <w:tr w:rsidR="00A35395">
        <w:trPr>
          <w:cantSplit/>
        </w:trPr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t>2. Remover barreiras</w:t>
            </w:r>
          </w:p>
        </w:tc>
        <w:tc>
          <w:tcPr>
            <w:tcW w:w="66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 xml:space="preserve">Identificar as barreiras em cada comunidade e local de </w:t>
            </w:r>
            <w:proofErr w:type="spellStart"/>
            <w:r>
              <w:rPr>
                <w:sz w:val="20"/>
                <w:szCs w:val="20"/>
              </w:rPr>
              <w:t>actividade</w:t>
            </w:r>
            <w:proofErr w:type="spellEnd"/>
            <w:r>
              <w:rPr>
                <w:sz w:val="20"/>
                <w:szCs w:val="20"/>
              </w:rPr>
              <w:t xml:space="preserve"> e aplicar medidas de acessibilidade e acomodação razoável.</w:t>
            </w:r>
          </w:p>
        </w:tc>
      </w:tr>
      <w:tr w:rsidR="00A35395">
        <w:trPr>
          <w:cantSplit/>
        </w:trPr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t>3. Capacitar as pessoas com deficiência e o pessoal</w:t>
            </w:r>
          </w:p>
        </w:tc>
        <w:tc>
          <w:tcPr>
            <w:tcW w:w="66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Formar o pessoal e os voluntários em inclusão; apoiar a liderança de pessoas com deficiência e o fortalecimento das OPD.</w:t>
            </w:r>
          </w:p>
        </w:tc>
      </w:tr>
      <w:tr w:rsidR="00A35395">
        <w:trPr>
          <w:cantSplit/>
        </w:trPr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t>4. Recolher e usar dados desagregados</w:t>
            </w:r>
          </w:p>
        </w:tc>
        <w:tc>
          <w:tcPr>
            <w:tcW w:w="66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Desagregar os dados por deficiência, sexo e idade, usando as perguntas do Grupo de Washington (Anexo II).</w:t>
            </w:r>
          </w:p>
        </w:tc>
      </w:tr>
    </w:tbl>
    <w:p w:rsidR="00A35395" w:rsidRDefault="00A35395">
      <w:pPr>
        <w:spacing w:after="120"/>
      </w:pPr>
    </w:p>
    <w:p w:rsidR="00A35395" w:rsidRDefault="009240DC">
      <w:pPr>
        <w:pStyle w:val="Ttulo3"/>
      </w:pPr>
      <w:r>
        <w:t>Compromissos por área de intervenção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proofErr w:type="spellStart"/>
      <w:r>
        <w:rPr>
          <w:b/>
          <w:bCs/>
        </w:rPr>
        <w:t>Protecção</w:t>
      </w:r>
      <w:proofErr w:type="spellEnd"/>
      <w:r>
        <w:rPr>
          <w:b/>
          <w:bCs/>
        </w:rPr>
        <w:t xml:space="preserve"> da criança: </w:t>
      </w:r>
      <w:r>
        <w:t xml:space="preserve">os Espaços Amigos da Criança serão acessíveis e terão </w:t>
      </w:r>
      <w:proofErr w:type="spellStart"/>
      <w:r>
        <w:t>actividades</w:t>
      </w:r>
      <w:proofErr w:type="spellEnd"/>
      <w:r>
        <w:t xml:space="preserve"> adaptadas; os Pontos Focais de </w:t>
      </w:r>
      <w:proofErr w:type="spellStart"/>
      <w:r>
        <w:t>Protecção</w:t>
      </w:r>
      <w:proofErr w:type="spellEnd"/>
      <w:r>
        <w:t xml:space="preserve"> e </w:t>
      </w:r>
      <w:proofErr w:type="spellStart"/>
      <w:r>
        <w:t>activistas</w:t>
      </w:r>
      <w:proofErr w:type="spellEnd"/>
      <w:r>
        <w:t xml:space="preserve"> serão formados para identificar crianças com deficiência que vivem isoladas em casa; a gestão de casos considerará os riscos acrescidos de violência, abandono e negligência; as crianças com deficiência serão referidas para serviços de reabilitação, saúde e </w:t>
      </w:r>
      <w:proofErr w:type="spellStart"/>
      <w:r>
        <w:t>acção</w:t>
      </w:r>
      <w:proofErr w:type="spellEnd"/>
      <w:r>
        <w:t xml:space="preserve"> social.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rPr>
          <w:b/>
          <w:bCs/>
        </w:rPr>
        <w:t xml:space="preserve">Prevenção das uniões prematuras e VBG: </w:t>
      </w:r>
      <w:r>
        <w:t>as mensagens e sessões incluirão raparigas com deficiência; os serviços de resposta e os mecanismos de denúncia serão acessíveis, com apoio de intérprete ou pessoa de confiança quando necessário.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rPr>
          <w:b/>
          <w:bCs/>
        </w:rPr>
        <w:t xml:space="preserve">Saúde e nutrição: </w:t>
      </w:r>
      <w:r>
        <w:t xml:space="preserve">o rastreio nutricional incluirá </w:t>
      </w:r>
      <w:proofErr w:type="spellStart"/>
      <w:r>
        <w:t>activamente</w:t>
      </w:r>
      <w:proofErr w:type="spellEnd"/>
      <w:r>
        <w:t xml:space="preserve"> as crianças com deficiência, que têm maior risco de desnutrição; as sessões de educação nutricional abordarão dificuldades de alimentação e deglutição e o apoio aos cuidadores.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rPr>
          <w:b/>
          <w:bCs/>
        </w:rPr>
        <w:t xml:space="preserve">Educação: </w:t>
      </w:r>
      <w:r>
        <w:t>promoveremos a matrícula e a permanência de crianças com deficiência na escola, em articulação com as escolas e os serviços de educação.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rPr>
          <w:b/>
          <w:bCs/>
        </w:rPr>
        <w:t xml:space="preserve">Higiene, dignidade e distribuições: </w:t>
      </w:r>
      <w:r>
        <w:t>os pontos de distribuição serão acessíveis, com filas prioritárias, possibilidade de recolha por pessoa de confiança, kits adaptados quando necessário e distribuição ao domicílio em casos justificados.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proofErr w:type="spellStart"/>
      <w:r>
        <w:rPr>
          <w:b/>
          <w:bCs/>
        </w:rPr>
        <w:t>Acção</w:t>
      </w:r>
      <w:proofErr w:type="spellEnd"/>
      <w:r>
        <w:rPr>
          <w:b/>
          <w:bCs/>
        </w:rPr>
        <w:t xml:space="preserve"> humanitária: </w:t>
      </w:r>
      <w:r>
        <w:t>os registos, avaliações rápidas e planos de evacuação/resposta identificarão as pessoas com deficiência e as suas necessidades de apoio, incluindo ajudas técnicas perdidas.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rPr>
          <w:b/>
          <w:bCs/>
        </w:rPr>
        <w:t xml:space="preserve">Mecanismos de feedback e reclamação: </w:t>
      </w:r>
      <w:r>
        <w:t>serão disponibilizados canais acessíveis (telefone, presencial, pessoa de confiança, visitas domiciliárias) e as reclamações de pessoas com deficiência serão tratadas com prioridade.</w:t>
      </w:r>
    </w:p>
    <w:p w:rsidR="00A35395" w:rsidRDefault="009240DC">
      <w:pPr>
        <w:pStyle w:val="Ttulo3"/>
      </w:pPr>
      <w:r>
        <w:t xml:space="preserve">Ciclo de </w:t>
      </w:r>
      <w:proofErr w:type="spellStart"/>
      <w:r>
        <w:t>projecto</w:t>
      </w:r>
      <w:proofErr w:type="spellEnd"/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00"/>
        <w:gridCol w:w="7038"/>
      </w:tblGrid>
      <w:tr w:rsidR="00A35395">
        <w:trPr>
          <w:cantSplit/>
          <w:tblHeader/>
        </w:trPr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0070C0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Fase</w:t>
            </w:r>
          </w:p>
        </w:tc>
        <w:tc>
          <w:tcPr>
            <w:tcW w:w="70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0070C0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Requisito mínimo</w:t>
            </w:r>
          </w:p>
        </w:tc>
      </w:tr>
      <w:tr w:rsidR="00A35395">
        <w:trPr>
          <w:cantSplit/>
        </w:trPr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t>Diagnóstico</w:t>
            </w:r>
          </w:p>
        </w:tc>
        <w:tc>
          <w:tcPr>
            <w:tcW w:w="70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Incluir perguntas sobre deficiência e barreiras; consultar pessoas com deficiência e OPD.</w:t>
            </w:r>
          </w:p>
        </w:tc>
      </w:tr>
      <w:tr w:rsidR="00A35395">
        <w:trPr>
          <w:cantSplit/>
        </w:trPr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t>Concepção e orçamento</w:t>
            </w:r>
          </w:p>
        </w:tc>
        <w:tc>
          <w:tcPr>
            <w:tcW w:w="70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 xml:space="preserve">Prever </w:t>
            </w:r>
            <w:proofErr w:type="spellStart"/>
            <w:r>
              <w:rPr>
                <w:sz w:val="20"/>
                <w:szCs w:val="20"/>
              </w:rPr>
              <w:t>actividades</w:t>
            </w:r>
            <w:proofErr w:type="spellEnd"/>
            <w:r>
              <w:rPr>
                <w:sz w:val="20"/>
                <w:szCs w:val="20"/>
              </w:rPr>
              <w:t xml:space="preserve"> específicas, medidas de acessibilidade e uma linha orçamental para inclusão e acomodação razoável.</w:t>
            </w:r>
          </w:p>
        </w:tc>
      </w:tr>
      <w:tr w:rsidR="00A35395">
        <w:trPr>
          <w:cantSplit/>
        </w:trPr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t>Implementação</w:t>
            </w:r>
          </w:p>
        </w:tc>
        <w:tc>
          <w:tcPr>
            <w:tcW w:w="70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Garantir locais, horários e comunicação acessíveis; aplicar a lista de verificação do Anexo I.</w:t>
            </w:r>
          </w:p>
        </w:tc>
      </w:tr>
      <w:tr w:rsidR="00A35395">
        <w:trPr>
          <w:cantSplit/>
        </w:trPr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lastRenderedPageBreak/>
              <w:t>Monitoria</w:t>
            </w:r>
          </w:p>
        </w:tc>
        <w:tc>
          <w:tcPr>
            <w:tcW w:w="70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Recolher dados desagregados; acompanhar indicadores de inclusão; ouvir o feedback de pessoas com deficiência.</w:t>
            </w:r>
          </w:p>
        </w:tc>
      </w:tr>
      <w:tr w:rsidR="00A35395">
        <w:trPr>
          <w:cantSplit/>
        </w:trPr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t>Avaliação e reporte</w:t>
            </w:r>
          </w:p>
        </w:tc>
        <w:tc>
          <w:tcPr>
            <w:tcW w:w="70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Analisar se as pessoas com deficiência beneficiaram em igualdade; reportar resultados e lições aprendidas aos doadores e parceiros.</w:t>
            </w:r>
          </w:p>
        </w:tc>
      </w:tr>
    </w:tbl>
    <w:p w:rsidR="00A35395" w:rsidRDefault="00A35395">
      <w:pPr>
        <w:spacing w:after="120"/>
      </w:pPr>
    </w:p>
    <w:p w:rsidR="00A35395" w:rsidRDefault="009240DC">
      <w:pPr>
        <w:pStyle w:val="Ttulo2"/>
      </w:pPr>
      <w:r>
        <w:t>8.2 Recursos humanos, emprego e voluntariado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 xml:space="preserve">Os anúncios de vaga incluirão a frase: “A </w:t>
      </w:r>
      <w:proofErr w:type="spellStart"/>
      <w:r>
        <w:t>SolidarChild</w:t>
      </w:r>
      <w:proofErr w:type="spellEnd"/>
      <w:r>
        <w:t xml:space="preserve"> é um empregador de igualdade de oportunidades. Encorajamos candidaturas de pessoas com deficiência.”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>Os anúncios serão divulgados também através de OPD e em formatos acessíveis.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>Os candidatos poderão pedir acomodação razoável durante o processo de recrutamento (ex.: entrevista num local acessível, tempo adicional, intérprete de LSM).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 xml:space="preserve">A </w:t>
      </w:r>
      <w:proofErr w:type="spellStart"/>
      <w:r>
        <w:t>selecção</w:t>
      </w:r>
      <w:proofErr w:type="spellEnd"/>
      <w:r>
        <w:t xml:space="preserve"> será feita com base no mérito e nas competências essenciais da função; a deficiência nunca será motivo de exclusão.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>O pessoal e os voluntários com deficiência terão direito a acomodação razoável no local de trabalho, através do formulário do Anexo III, com decisão num prazo máximo de [15] dias úteis.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>A informação sobre a deficiência de um trabalhador é confidencial e só será partilhada com o seu consentimento.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 xml:space="preserve">A </w:t>
      </w:r>
      <w:proofErr w:type="spellStart"/>
      <w:r>
        <w:t>SolidarChild</w:t>
      </w:r>
      <w:proofErr w:type="spellEnd"/>
      <w:r>
        <w:t xml:space="preserve"> procurará aumentar progressivamente a proporção de pessoas com deficiência no seu pessoal e voluntariado, fixando uma meta indicativa no seu plano estratégico.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>Todo o pessoal novo receberá, na indução, uma sessão sobre esta política.</w:t>
      </w:r>
    </w:p>
    <w:p w:rsidR="00A35395" w:rsidRDefault="009240DC">
      <w:pPr>
        <w:pStyle w:val="Ttulo2"/>
      </w:pPr>
      <w:r>
        <w:t>8.3 Acessibilidade física e da comunicação</w:t>
      </w:r>
    </w:p>
    <w:p w:rsidR="00A35395" w:rsidRDefault="009240DC">
      <w:pPr>
        <w:pStyle w:val="Ttulo3"/>
      </w:pPr>
      <w:r>
        <w:t>Espaços físicos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 xml:space="preserve">Os escritórios, os Espaços Amigos da Criança e os locais de </w:t>
      </w:r>
      <w:proofErr w:type="spellStart"/>
      <w:r>
        <w:t>actividade</w:t>
      </w:r>
      <w:proofErr w:type="spellEnd"/>
      <w:r>
        <w:t xml:space="preserve"> e formação serão escolhidos ou adaptados para serem acessíveis (entrada sem degraus ou com rampa, caminhos desobstruídos, casa de banho acessível sempre que possível).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>Na impossibilidade de acesso total, serão adoptadas soluções alternativas (</w:t>
      </w:r>
      <w:proofErr w:type="spellStart"/>
      <w:r>
        <w:t>actividade</w:t>
      </w:r>
      <w:proofErr w:type="spellEnd"/>
      <w:r>
        <w:t xml:space="preserve"> no rés-do-chão, local alternativo, apoio pessoal).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>As avaliações de novos espaços e as obras incluirão critérios de acessibilidade.</w:t>
      </w:r>
    </w:p>
    <w:p w:rsidR="00A35395" w:rsidRDefault="009240DC">
      <w:pPr>
        <w:pStyle w:val="Ttulo3"/>
      </w:pPr>
      <w:r>
        <w:t>Informação e comunicação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>Usar linguagem simples e clara e, sempre que possível, línguas locais.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>Combinar formatos: oral, escrito, imagens e pictogramas, demonstrações práticas.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>Assegurar intérprete de Língua de Sinais de Moçambique em eventos e sessões comunitárias quando houver participantes surdos.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>Disponibilizar documentos em letra ampliada ou formato digital acessível quando solicitado.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>Tornar os materiais de sensibilização inclusivos, representando pessoas com deficiência de forma positiva.</w:t>
      </w:r>
    </w:p>
    <w:p w:rsidR="00A35395" w:rsidRDefault="009240DC">
      <w:pPr>
        <w:pStyle w:val="Ttulo2"/>
      </w:pPr>
      <w:r>
        <w:lastRenderedPageBreak/>
        <w:t>8.4 Dados, monitoria e evidência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>Usar o conjunto curto de perguntas do Grupo de Washington (WG-SS) para adultos e o Módulo de Funcionalidade da Criança (UNICEF/WG) para crianças dos 2 aos 17 anos (Anexo II).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>Desagregar todos os indicadores de beneficiários por deficiência, sexo, idade e estatuto de deslocação.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 xml:space="preserve">Não perguntar </w:t>
      </w:r>
      <w:proofErr w:type="spellStart"/>
      <w:r>
        <w:t>directamente</w:t>
      </w:r>
      <w:proofErr w:type="spellEnd"/>
      <w:r>
        <w:t xml:space="preserve"> “é deficiente?”: as perguntas de funcionalidade identificam melhor as pessoas com dificuldades e reduzem o estigma.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>Formar os inquiridores para fazer as perguntas com respeito, confidencialidade e consentimento informado.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>Analisar os dados para verificar se as pessoas com deficiência beneficiam em proporção às suas necessidades e corrigir a intervenção quando não é o caso.</w:t>
      </w:r>
    </w:p>
    <w:p w:rsidR="00A35395" w:rsidRDefault="009240DC">
      <w:pPr>
        <w:pStyle w:val="Ttulo2"/>
      </w:pPr>
      <w:r>
        <w:t>8.5 Parcerias com Organizações de Pessoas com Deficiência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>Identificar e estabelecer parcerias com OPD a nível provincial e distrital, incluindo o FAMOD e as suas associações membro.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>Envolver as OPD nos diagnósticos, na formação do pessoal, na verificação da acessibilidade e na monitoria.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>Remunerar ou compensar de forma justa o tempo e a especialidade das OPD e das pessoas com deficiência envolvidas.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>Apoiar o fortalecimento institucional de OPD locais sempre que possível, incluindo em propostas conjuntas de financiamento.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>Participar nos mecanismos de coordenação sobre deficiência e inclusão na resposta humanitária.</w:t>
      </w:r>
    </w:p>
    <w:p w:rsidR="00A35395" w:rsidRDefault="009240DC">
      <w:pPr>
        <w:pStyle w:val="Ttulo2"/>
      </w:pPr>
      <w:r>
        <w:t xml:space="preserve">8.6 Salvaguarda, </w:t>
      </w:r>
      <w:proofErr w:type="spellStart"/>
      <w:r>
        <w:t>protecção</w:t>
      </w:r>
      <w:proofErr w:type="spellEnd"/>
      <w:r>
        <w:t xml:space="preserve"> e PSEA</w:t>
      </w:r>
    </w:p>
    <w:p w:rsidR="00A35395" w:rsidRDefault="009240DC">
      <w:pPr>
        <w:spacing w:after="140" w:line="288" w:lineRule="auto"/>
        <w:jc w:val="both"/>
      </w:pPr>
      <w:r>
        <w:t xml:space="preserve">As crianças e adultos com deficiência estão em maior risco de violência, abuso e exploração, incluindo exploração e abuso sexual, e têm frequentemente mais dificuldade em denunciar. Por isso, a </w:t>
      </w:r>
      <w:proofErr w:type="spellStart"/>
      <w:r>
        <w:t>SolidarChild</w:t>
      </w:r>
      <w:proofErr w:type="spellEnd"/>
      <w:r>
        <w:t xml:space="preserve"> compromete-se a: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 xml:space="preserve">Incluir riscos específicos relacionados com a deficiência nas avaliações de risco de salvaguarda de todos os </w:t>
      </w:r>
      <w:proofErr w:type="spellStart"/>
      <w:r>
        <w:t>projectos</w:t>
      </w:r>
      <w:proofErr w:type="spellEnd"/>
      <w:r>
        <w:t>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>Garantir que os mecanismos de denúncia são acessíveis e que as crianças com deficiência podem denunciar através de uma pessoa de confiança à sua escolha.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 xml:space="preserve">Nunca deixar uma criança com deficiência sozinha com um único adulto em situação de cuidados íntimos, </w:t>
      </w:r>
      <w:proofErr w:type="spellStart"/>
      <w:r>
        <w:t>excepto</w:t>
      </w:r>
      <w:proofErr w:type="spellEnd"/>
      <w:r>
        <w:t xml:space="preserve"> quando previsto e autorizado.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 xml:space="preserve">Respeitar a privacidade e a dignidade em </w:t>
      </w:r>
      <w:proofErr w:type="spellStart"/>
      <w:r>
        <w:t>actividades</w:t>
      </w:r>
      <w:proofErr w:type="spellEnd"/>
      <w:r>
        <w:t xml:space="preserve"> que envolvam cuidados pessoais.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 xml:space="preserve">Tratar qualquer suspeita de abuso de acordo com a Política de </w:t>
      </w:r>
      <w:proofErr w:type="spellStart"/>
      <w:r>
        <w:t>Protecção</w:t>
      </w:r>
      <w:proofErr w:type="spellEnd"/>
      <w:r>
        <w:t xml:space="preserve"> da Criança e Salvaguarda e a Política de PSEA.</w:t>
      </w:r>
    </w:p>
    <w:p w:rsidR="00A35395" w:rsidRDefault="009240DC">
      <w:pPr>
        <w:pStyle w:val="Ttulo2"/>
      </w:pPr>
      <w:r>
        <w:t>8.7 Comunicação, imagem e linguagem respeitosa</w:t>
      </w:r>
    </w:p>
    <w:p w:rsidR="00A35395" w:rsidRDefault="009240DC">
      <w:pPr>
        <w:spacing w:after="140" w:line="288" w:lineRule="auto"/>
        <w:jc w:val="both"/>
      </w:pPr>
      <w:r>
        <w:t xml:space="preserve">A forma como falamos das pessoas com deficiência influencia a forma como são vistas. Todo o pessoal e todas as comunicações da </w:t>
      </w:r>
      <w:proofErr w:type="spellStart"/>
      <w:r>
        <w:t>SolidarChild</w:t>
      </w:r>
      <w:proofErr w:type="spellEnd"/>
      <w:r>
        <w:t xml:space="preserve"> devem usar linguagem respeitosa, que coloca a pessoa em primeiro lugar.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 w:rsidR="00A35395">
        <w:trPr>
          <w:cantSplit/>
          <w:tblHeader/>
        </w:trPr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00A04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color w:val="FFFFFF"/>
                <w:sz w:val="20"/>
                <w:szCs w:val="20"/>
              </w:rPr>
              <w:lastRenderedPageBreak/>
              <w:t>Evitar</w:t>
            </w:r>
          </w:p>
        </w:tc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00A04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Usar</w:t>
            </w:r>
          </w:p>
        </w:tc>
      </w:tr>
      <w:tr w:rsidR="00A35395">
        <w:trPr>
          <w:cantSplit/>
        </w:trPr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Deficiente; o/a deficiente</w:t>
            </w:r>
          </w:p>
        </w:tc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Pessoa com deficiência</w:t>
            </w:r>
          </w:p>
        </w:tc>
      </w:tr>
      <w:tr w:rsidR="00A35395">
        <w:trPr>
          <w:cantSplit/>
        </w:trPr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Portador(a) de deficiência</w:t>
            </w:r>
          </w:p>
        </w:tc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Pessoa com deficiência</w:t>
            </w:r>
          </w:p>
        </w:tc>
      </w:tr>
      <w:tr w:rsidR="00A35395">
        <w:trPr>
          <w:cantSplit/>
        </w:trPr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Aleijado; inválido; incapacitado</w:t>
            </w:r>
          </w:p>
        </w:tc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Pessoa com deficiência física</w:t>
            </w:r>
          </w:p>
        </w:tc>
      </w:tr>
      <w:tr w:rsidR="00A35395">
        <w:trPr>
          <w:cantSplit/>
        </w:trPr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Mudo; surdo-mudo</w:t>
            </w:r>
          </w:p>
        </w:tc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Pessoa surda</w:t>
            </w:r>
          </w:p>
        </w:tc>
      </w:tr>
      <w:tr w:rsidR="00A35395">
        <w:trPr>
          <w:cantSplit/>
        </w:trPr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Ceguinho</w:t>
            </w:r>
          </w:p>
        </w:tc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Pessoa cega; pessoa com deficiência visual</w:t>
            </w:r>
          </w:p>
        </w:tc>
      </w:tr>
      <w:tr w:rsidR="00A35395">
        <w:trPr>
          <w:cantSplit/>
        </w:trPr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Atrasado; maluco; doente mental</w:t>
            </w:r>
          </w:p>
        </w:tc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Pessoa com deficiência intelectual; pessoa com deficiência psicossocial</w:t>
            </w:r>
          </w:p>
        </w:tc>
      </w:tr>
      <w:tr w:rsidR="00A35395">
        <w:trPr>
          <w:cantSplit/>
        </w:trPr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Preso a uma cadeira de rodas</w:t>
            </w:r>
          </w:p>
        </w:tc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Pessoa que usa cadeira de rodas</w:t>
            </w:r>
          </w:p>
        </w:tc>
      </w:tr>
      <w:tr w:rsidR="00A35395">
        <w:trPr>
          <w:cantSplit/>
        </w:trPr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Sofre de…; é vítima de…</w:t>
            </w:r>
          </w:p>
        </w:tc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Tem…; vive com…</w:t>
            </w:r>
          </w:p>
        </w:tc>
      </w:tr>
      <w:tr w:rsidR="00A35395">
        <w:trPr>
          <w:cantSplit/>
        </w:trPr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Pessoa normal</w:t>
            </w:r>
          </w:p>
        </w:tc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Pessoa sem deficiência</w:t>
            </w:r>
          </w:p>
        </w:tc>
      </w:tr>
    </w:tbl>
    <w:p w:rsidR="00A35395" w:rsidRDefault="00A35395">
      <w:pPr>
        <w:spacing w:after="120"/>
      </w:pP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 xml:space="preserve">As fotografias e histórias devem mostrar as pessoas com deficiência de forma digna, </w:t>
      </w:r>
      <w:proofErr w:type="spellStart"/>
      <w:r>
        <w:t>activa</w:t>
      </w:r>
      <w:proofErr w:type="spellEnd"/>
      <w:r>
        <w:t xml:space="preserve"> e não sensacionalista, evitando imagens que suscitem pena.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>É obrigatório o consentimento informado (e, no caso de crianças, também o do cuidador) antes de usar imagens ou histórias.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 xml:space="preserve">Nunca divulgar a identidade de uma criança com deficiência que esteja a ser acompanhada por um caso de </w:t>
      </w:r>
      <w:proofErr w:type="spellStart"/>
      <w:r>
        <w:t>protecção</w:t>
      </w:r>
      <w:proofErr w:type="spellEnd"/>
      <w:r>
        <w:t>.</w:t>
      </w:r>
    </w:p>
    <w:p w:rsidR="00A35395" w:rsidRDefault="009240DC">
      <w:pPr>
        <w:pStyle w:val="Ttulo2"/>
      </w:pPr>
      <w:r>
        <w:t>8.8 Orçamento e recursos</w:t>
      </w:r>
    </w:p>
    <w:p w:rsidR="00A35395" w:rsidRDefault="009240DC">
      <w:pPr>
        <w:spacing w:after="140" w:line="288" w:lineRule="auto"/>
        <w:jc w:val="both"/>
      </w:pPr>
      <w:r>
        <w:t xml:space="preserve">A inclusão exige recursos. A </w:t>
      </w:r>
      <w:proofErr w:type="spellStart"/>
      <w:r>
        <w:t>SolidarChild</w:t>
      </w:r>
      <w:proofErr w:type="spellEnd"/>
      <w:r>
        <w:t xml:space="preserve"> compromete-se a: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 xml:space="preserve">Incluir, em todas as propostas de </w:t>
      </w:r>
      <w:proofErr w:type="spellStart"/>
      <w:r>
        <w:t>projecto</w:t>
      </w:r>
      <w:proofErr w:type="spellEnd"/>
      <w:r>
        <w:t xml:space="preserve">, uma linha orçamental específica para acessibilidade e acomodação razoável, correspondendo, sempre que possível, a [3% a 5%] do orçamento das </w:t>
      </w:r>
      <w:proofErr w:type="spellStart"/>
      <w:r>
        <w:t>actividades</w:t>
      </w:r>
      <w:proofErr w:type="spellEnd"/>
      <w:r>
        <w:t>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>Prever no orçamento institucional um fundo para acomodação razoável do pessoal.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>Incluir custos de intérpretes de LSM, transporte acessível, materiais em formatos acessíveis e participação de OPD.</w:t>
      </w:r>
    </w:p>
    <w:p w:rsidR="00A35395" w:rsidRDefault="009240DC">
      <w:pPr>
        <w:pStyle w:val="Ttulo1"/>
      </w:pPr>
      <w:r>
        <w:t>9. Papéis e Responsabilidades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0"/>
        <w:gridCol w:w="6638"/>
      </w:tblGrid>
      <w:tr w:rsidR="00A35395">
        <w:trPr>
          <w:cantSplit/>
          <w:tblHeader/>
        </w:trPr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0070C0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Quem</w:t>
            </w:r>
          </w:p>
        </w:tc>
        <w:tc>
          <w:tcPr>
            <w:tcW w:w="66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0070C0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Responsabilidades</w:t>
            </w:r>
          </w:p>
        </w:tc>
      </w:tr>
      <w:tr w:rsidR="00A35395">
        <w:trPr>
          <w:cantSplit/>
        </w:trPr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t xml:space="preserve">Assembleia Geral / Conselho de </w:t>
            </w:r>
            <w:proofErr w:type="spellStart"/>
            <w:r>
              <w:rPr>
                <w:b/>
                <w:bCs/>
                <w:sz w:val="20"/>
                <w:szCs w:val="20"/>
              </w:rPr>
              <w:t>Direcção</w:t>
            </w:r>
            <w:proofErr w:type="spellEnd"/>
          </w:p>
        </w:tc>
        <w:tc>
          <w:tcPr>
            <w:tcW w:w="66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Aprovar a política; garantir recursos; acompanhar o relatório anual de implementação.</w:t>
            </w:r>
          </w:p>
        </w:tc>
      </w:tr>
      <w:tr w:rsidR="00A35395">
        <w:trPr>
          <w:cantSplit/>
        </w:trPr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proofErr w:type="spellStart"/>
            <w:r>
              <w:rPr>
                <w:b/>
                <w:bCs/>
                <w:sz w:val="20"/>
                <w:szCs w:val="20"/>
              </w:rPr>
              <w:t>Director</w:t>
            </w:r>
            <w:proofErr w:type="spellEnd"/>
            <w:r>
              <w:rPr>
                <w:b/>
                <w:bCs/>
                <w:sz w:val="20"/>
                <w:szCs w:val="20"/>
              </w:rPr>
              <w:t>(a) Executivo(a)</w:t>
            </w:r>
          </w:p>
        </w:tc>
        <w:tc>
          <w:tcPr>
            <w:tcW w:w="66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Liderar a implementação; nomear o Ponto Focal de Inclusão; garantir que a inclusão consta dos planos, orçamentos e relatórios da organização.</w:t>
            </w:r>
          </w:p>
        </w:tc>
      </w:tr>
      <w:tr w:rsidR="00A35395">
        <w:trPr>
          <w:cantSplit/>
        </w:trPr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t>Ponto Focal de Inclusão</w:t>
            </w:r>
          </w:p>
        </w:tc>
        <w:tc>
          <w:tcPr>
            <w:tcW w:w="66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Apoiar tecnicamente as equipas; coordenar formações; manter a ligação com as OPD; acompanhar os indicadores; receber pedidos de acomodação razoável; elaborar o relatório anual.</w:t>
            </w:r>
          </w:p>
        </w:tc>
      </w:tr>
      <w:tr w:rsidR="00A35395">
        <w:trPr>
          <w:cantSplit/>
        </w:trPr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lastRenderedPageBreak/>
              <w:t xml:space="preserve">Gestores de Programa / Coordenadores de </w:t>
            </w:r>
            <w:proofErr w:type="spellStart"/>
            <w:r>
              <w:rPr>
                <w:b/>
                <w:bCs/>
                <w:sz w:val="20"/>
                <w:szCs w:val="20"/>
              </w:rPr>
              <w:t>Projecto</w:t>
            </w:r>
            <w:proofErr w:type="spellEnd"/>
          </w:p>
        </w:tc>
        <w:tc>
          <w:tcPr>
            <w:tcW w:w="66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 xml:space="preserve">Integrar a inclusão no ciclo de </w:t>
            </w:r>
            <w:proofErr w:type="spellStart"/>
            <w:r>
              <w:rPr>
                <w:sz w:val="20"/>
                <w:szCs w:val="20"/>
              </w:rPr>
              <w:t>projecto</w:t>
            </w:r>
            <w:proofErr w:type="spellEnd"/>
            <w:r>
              <w:rPr>
                <w:sz w:val="20"/>
                <w:szCs w:val="20"/>
              </w:rPr>
              <w:t>; aplicar a lista de verificação (Anexo I); garantir dados desagregados e orçamento para inclusão.</w:t>
            </w:r>
          </w:p>
        </w:tc>
      </w:tr>
      <w:tr w:rsidR="00A35395">
        <w:trPr>
          <w:cantSplit/>
        </w:trPr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t>Recursos Humanos</w:t>
            </w:r>
          </w:p>
        </w:tc>
        <w:tc>
          <w:tcPr>
            <w:tcW w:w="66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Aplicar práticas de recrutamento inclusivo; tratar os pedidos de acomodação razoável; incluir a política na indução.</w:t>
            </w:r>
          </w:p>
        </w:tc>
      </w:tr>
      <w:tr w:rsidR="00A35395">
        <w:trPr>
          <w:cantSplit/>
        </w:trPr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t>Administração, Finanças e Logística</w:t>
            </w:r>
          </w:p>
        </w:tc>
        <w:tc>
          <w:tcPr>
            <w:tcW w:w="66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Garantir acessibilidade nos espaços, eventos e transportes; incluir critérios de acessibilidade nas compras e contratos.</w:t>
            </w:r>
          </w:p>
        </w:tc>
      </w:tr>
      <w:tr w:rsidR="00A35395">
        <w:trPr>
          <w:cantSplit/>
        </w:trPr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t>Monitoria e Avaliação</w:t>
            </w:r>
          </w:p>
        </w:tc>
        <w:tc>
          <w:tcPr>
            <w:tcW w:w="66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Integrar as perguntas do Grupo de Washington; desagregar e analisar os dados; reportar resultados.</w:t>
            </w:r>
          </w:p>
        </w:tc>
      </w:tr>
      <w:tr w:rsidR="00A35395">
        <w:trPr>
          <w:cantSplit/>
        </w:trPr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t>Comunicação</w:t>
            </w:r>
          </w:p>
        </w:tc>
        <w:tc>
          <w:tcPr>
            <w:tcW w:w="66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Garantir linguagem respeitosa, imagens dignas e formatos acessíveis.</w:t>
            </w:r>
          </w:p>
        </w:tc>
      </w:tr>
      <w:tr w:rsidR="00A35395">
        <w:trPr>
          <w:cantSplit/>
        </w:trPr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6F0F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sz w:val="20"/>
                <w:szCs w:val="20"/>
              </w:rPr>
              <w:t>Todo o pessoal, voluntários e parceiros</w:t>
            </w:r>
          </w:p>
        </w:tc>
        <w:tc>
          <w:tcPr>
            <w:tcW w:w="66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Conhecer e cumprir esta política; tratar todas as pessoas com respeito; comunicar barreiras ou situações de discriminação.</w:t>
            </w:r>
          </w:p>
        </w:tc>
      </w:tr>
    </w:tbl>
    <w:p w:rsidR="00A35395" w:rsidRDefault="00A35395">
      <w:pPr>
        <w:spacing w:after="120"/>
      </w:pPr>
    </w:p>
    <w:p w:rsidR="00A35395" w:rsidRDefault="009240DC">
      <w:pPr>
        <w:pStyle w:val="Ttulo1"/>
      </w:pPr>
      <w:r>
        <w:t>10. Reclamações e Incumprimento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>Qualquer pessoa — beneficiário, membro do pessoal, voluntário ou parceiro — pode apresentar uma reclamação sobre discriminação, falta de acessibilidade ou incumprimento desta política.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 xml:space="preserve">As reclamações podem ser feitas através dos mecanismos de feedback e reclamação da </w:t>
      </w:r>
      <w:proofErr w:type="spellStart"/>
      <w:r>
        <w:t>SolidarChild</w:t>
      </w:r>
      <w:proofErr w:type="spellEnd"/>
      <w:r>
        <w:t xml:space="preserve">, </w:t>
      </w:r>
      <w:proofErr w:type="spellStart"/>
      <w:r>
        <w:t>directamente</w:t>
      </w:r>
      <w:proofErr w:type="spellEnd"/>
      <w:r>
        <w:t xml:space="preserve"> ao Ponto Focal de Inclusão, aos Recursos Humanos ou à </w:t>
      </w:r>
      <w:proofErr w:type="spellStart"/>
      <w:r>
        <w:t>Direcção</w:t>
      </w:r>
      <w:proofErr w:type="spellEnd"/>
      <w:r>
        <w:t xml:space="preserve"> Executiva, por via oral, escrita, telefónica ou através de uma pessoa de confiança.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>Todas as reclamações serão tratadas com confidencialidade, sem retaliação contra quem as apresenta, e respondidas num prazo máximo de [15] dias úteis.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>O incumprimento desta política por parte do pessoal constitui infracção disciplinar, tratada nos termos do Manual de Recursos Humanos e da legislação laboral em vigor.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>O incumprimento por parte de parceiros ou fornecedores pode levar à revisão ou rescisão do acordo.</w:t>
      </w:r>
    </w:p>
    <w:p w:rsidR="00A35395" w:rsidRDefault="009240DC">
      <w:pPr>
        <w:pStyle w:val="PargrafodaLista"/>
        <w:numPr>
          <w:ilvl w:val="0"/>
          <w:numId w:val="2"/>
        </w:numPr>
        <w:spacing w:after="80" w:line="276" w:lineRule="auto"/>
        <w:jc w:val="both"/>
      </w:pPr>
      <w:r>
        <w:t xml:space="preserve">Situações que envolvam violência, abuso ou exploração serão tratadas de acordo com a Política de </w:t>
      </w:r>
      <w:proofErr w:type="spellStart"/>
      <w:r>
        <w:t>Protecção</w:t>
      </w:r>
      <w:proofErr w:type="spellEnd"/>
      <w:r>
        <w:t xml:space="preserve"> da Criança e Salvaguarda e a Política de PSEA.</w:t>
      </w:r>
    </w:p>
    <w:p w:rsidR="00A35395" w:rsidRDefault="009240DC">
      <w:pPr>
        <w:pStyle w:val="Ttulo1"/>
      </w:pPr>
      <w:r>
        <w:t>11. Implementação, Monitoria e Revisão</w:t>
      </w:r>
    </w:p>
    <w:p w:rsidR="00A35395" w:rsidRDefault="009240DC">
      <w:pPr>
        <w:pStyle w:val="Ttulo2"/>
      </w:pPr>
      <w:r>
        <w:t>11.1 Plano de implementação (primeiros 12 meses)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5038"/>
        <w:gridCol w:w="2400"/>
        <w:gridCol w:w="1600"/>
      </w:tblGrid>
      <w:tr w:rsidR="00A35395">
        <w:trPr>
          <w:cantSplit/>
          <w:tblHeader/>
        </w:trPr>
        <w:tc>
          <w:tcPr>
            <w:tcW w:w="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0070C0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N.º</w:t>
            </w:r>
          </w:p>
        </w:tc>
        <w:tc>
          <w:tcPr>
            <w:tcW w:w="50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0070C0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Acção</w:t>
            </w:r>
            <w:proofErr w:type="spellEnd"/>
          </w:p>
        </w:tc>
        <w:tc>
          <w:tcPr>
            <w:tcW w:w="2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0070C0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Responsável</w:t>
            </w:r>
          </w:p>
        </w:tc>
        <w:tc>
          <w:tcPr>
            <w:tcW w:w="1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0070C0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Prazo</w:t>
            </w:r>
          </w:p>
        </w:tc>
      </w:tr>
      <w:tr w:rsidR="00A35395">
        <w:trPr>
          <w:cantSplit/>
        </w:trPr>
        <w:tc>
          <w:tcPr>
            <w:tcW w:w="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50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Aprovar e divulgar a política a todo o pessoal, voluntários e parceiros</w:t>
            </w:r>
          </w:p>
        </w:tc>
        <w:tc>
          <w:tcPr>
            <w:tcW w:w="2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proofErr w:type="spellStart"/>
            <w:r>
              <w:rPr>
                <w:sz w:val="19"/>
                <w:szCs w:val="19"/>
              </w:rPr>
              <w:t>Direcção</w:t>
            </w:r>
            <w:proofErr w:type="spellEnd"/>
            <w:r>
              <w:rPr>
                <w:sz w:val="19"/>
                <w:szCs w:val="19"/>
              </w:rPr>
              <w:t xml:space="preserve"> Executiva</w:t>
            </w:r>
          </w:p>
        </w:tc>
        <w:tc>
          <w:tcPr>
            <w:tcW w:w="1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Mês 1</w:t>
            </w:r>
          </w:p>
        </w:tc>
      </w:tr>
      <w:tr w:rsidR="00A35395">
        <w:trPr>
          <w:cantSplit/>
        </w:trPr>
        <w:tc>
          <w:tcPr>
            <w:tcW w:w="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50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Nomear o Ponto Focal de Inclusão e definir os seus termos de referência</w:t>
            </w:r>
          </w:p>
        </w:tc>
        <w:tc>
          <w:tcPr>
            <w:tcW w:w="2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proofErr w:type="spellStart"/>
            <w:r>
              <w:rPr>
                <w:sz w:val="19"/>
                <w:szCs w:val="19"/>
              </w:rPr>
              <w:t>Direcção</w:t>
            </w:r>
            <w:proofErr w:type="spellEnd"/>
            <w:r>
              <w:rPr>
                <w:sz w:val="19"/>
                <w:szCs w:val="19"/>
              </w:rPr>
              <w:t xml:space="preserve"> Executiva</w:t>
            </w:r>
          </w:p>
        </w:tc>
        <w:tc>
          <w:tcPr>
            <w:tcW w:w="1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Mês 1</w:t>
            </w:r>
          </w:p>
        </w:tc>
      </w:tr>
      <w:tr w:rsidR="00A35395">
        <w:trPr>
          <w:cantSplit/>
        </w:trPr>
        <w:tc>
          <w:tcPr>
            <w:tcW w:w="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3</w:t>
            </w:r>
          </w:p>
        </w:tc>
        <w:tc>
          <w:tcPr>
            <w:tcW w:w="50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Mapear as OPD em Cabo Delgado e estabelecer, no mínimo, uma parceria formal</w:t>
            </w:r>
          </w:p>
        </w:tc>
        <w:tc>
          <w:tcPr>
            <w:tcW w:w="2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Ponto Focal de Inclusão</w:t>
            </w:r>
          </w:p>
        </w:tc>
        <w:tc>
          <w:tcPr>
            <w:tcW w:w="1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Meses 1–3</w:t>
            </w:r>
          </w:p>
        </w:tc>
      </w:tr>
      <w:tr w:rsidR="00A35395">
        <w:trPr>
          <w:cantSplit/>
        </w:trPr>
        <w:tc>
          <w:tcPr>
            <w:tcW w:w="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4</w:t>
            </w:r>
          </w:p>
        </w:tc>
        <w:tc>
          <w:tcPr>
            <w:tcW w:w="50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Formação inicial de todo o pessoal e voluntários em inclusão da deficiência</w:t>
            </w:r>
          </w:p>
        </w:tc>
        <w:tc>
          <w:tcPr>
            <w:tcW w:w="2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Ponto Focal / OPD parceira</w:t>
            </w:r>
          </w:p>
        </w:tc>
        <w:tc>
          <w:tcPr>
            <w:tcW w:w="1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Meses 2–4</w:t>
            </w:r>
          </w:p>
        </w:tc>
      </w:tr>
      <w:tr w:rsidR="00A35395">
        <w:trPr>
          <w:cantSplit/>
        </w:trPr>
        <w:tc>
          <w:tcPr>
            <w:tcW w:w="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lastRenderedPageBreak/>
              <w:t>5</w:t>
            </w:r>
          </w:p>
        </w:tc>
        <w:tc>
          <w:tcPr>
            <w:tcW w:w="50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 xml:space="preserve">Auditoria de acessibilidade do escritório e dos locais de </w:t>
            </w:r>
            <w:proofErr w:type="spellStart"/>
            <w:r>
              <w:rPr>
                <w:sz w:val="19"/>
                <w:szCs w:val="19"/>
              </w:rPr>
              <w:t>actividade</w:t>
            </w:r>
            <w:proofErr w:type="spellEnd"/>
          </w:p>
        </w:tc>
        <w:tc>
          <w:tcPr>
            <w:tcW w:w="2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Administração / OPD parceira</w:t>
            </w:r>
          </w:p>
        </w:tc>
        <w:tc>
          <w:tcPr>
            <w:tcW w:w="1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Meses 2–4</w:t>
            </w:r>
          </w:p>
        </w:tc>
      </w:tr>
      <w:tr w:rsidR="00A35395">
        <w:trPr>
          <w:cantSplit/>
        </w:trPr>
        <w:tc>
          <w:tcPr>
            <w:tcW w:w="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6</w:t>
            </w:r>
          </w:p>
        </w:tc>
        <w:tc>
          <w:tcPr>
            <w:tcW w:w="50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Integrar as perguntas do Grupo de Washington nas ferramentas de registo e M&amp;A</w:t>
            </w:r>
          </w:p>
        </w:tc>
        <w:tc>
          <w:tcPr>
            <w:tcW w:w="2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M&amp;A</w:t>
            </w:r>
          </w:p>
        </w:tc>
        <w:tc>
          <w:tcPr>
            <w:tcW w:w="1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Meses 2–4</w:t>
            </w:r>
          </w:p>
        </w:tc>
      </w:tr>
      <w:tr w:rsidR="00A35395">
        <w:trPr>
          <w:cantSplit/>
        </w:trPr>
        <w:tc>
          <w:tcPr>
            <w:tcW w:w="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7</w:t>
            </w:r>
          </w:p>
        </w:tc>
        <w:tc>
          <w:tcPr>
            <w:tcW w:w="50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Rever os modelos de proposta e orçamento para incluir a linha de inclusão</w:t>
            </w:r>
          </w:p>
        </w:tc>
        <w:tc>
          <w:tcPr>
            <w:tcW w:w="2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Programas / Finanças</w:t>
            </w:r>
          </w:p>
        </w:tc>
        <w:tc>
          <w:tcPr>
            <w:tcW w:w="1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Mês 3</w:t>
            </w:r>
          </w:p>
        </w:tc>
      </w:tr>
      <w:tr w:rsidR="00A35395">
        <w:trPr>
          <w:cantSplit/>
        </w:trPr>
        <w:tc>
          <w:tcPr>
            <w:tcW w:w="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8</w:t>
            </w:r>
          </w:p>
        </w:tc>
        <w:tc>
          <w:tcPr>
            <w:tcW w:w="50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Rever os procedimentos de recrutamento e os anúncios de vaga</w:t>
            </w:r>
          </w:p>
        </w:tc>
        <w:tc>
          <w:tcPr>
            <w:tcW w:w="2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Recursos Humanos</w:t>
            </w:r>
          </w:p>
        </w:tc>
        <w:tc>
          <w:tcPr>
            <w:tcW w:w="1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Mês 3</w:t>
            </w:r>
          </w:p>
        </w:tc>
      </w:tr>
      <w:tr w:rsidR="00A35395">
        <w:trPr>
          <w:cantSplit/>
        </w:trPr>
        <w:tc>
          <w:tcPr>
            <w:tcW w:w="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9</w:t>
            </w:r>
          </w:p>
        </w:tc>
        <w:tc>
          <w:tcPr>
            <w:tcW w:w="50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Adaptar os mecanismos de feedback e reclamação para serem acessíveis</w:t>
            </w:r>
          </w:p>
        </w:tc>
        <w:tc>
          <w:tcPr>
            <w:tcW w:w="2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Programas / M&amp;A</w:t>
            </w:r>
          </w:p>
        </w:tc>
        <w:tc>
          <w:tcPr>
            <w:tcW w:w="1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Meses 3–6</w:t>
            </w:r>
          </w:p>
        </w:tc>
      </w:tr>
      <w:tr w:rsidR="00A35395">
        <w:trPr>
          <w:cantSplit/>
        </w:trPr>
        <w:tc>
          <w:tcPr>
            <w:tcW w:w="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10</w:t>
            </w:r>
          </w:p>
        </w:tc>
        <w:tc>
          <w:tcPr>
            <w:tcW w:w="50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Primeiro relatório anual de implementação</w:t>
            </w:r>
          </w:p>
        </w:tc>
        <w:tc>
          <w:tcPr>
            <w:tcW w:w="2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Ponto Focal de Inclusão</w:t>
            </w:r>
          </w:p>
        </w:tc>
        <w:tc>
          <w:tcPr>
            <w:tcW w:w="1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19"/>
                <w:szCs w:val="19"/>
              </w:rPr>
              <w:t>Mês 12</w:t>
            </w:r>
          </w:p>
        </w:tc>
      </w:tr>
    </w:tbl>
    <w:p w:rsidR="00A35395" w:rsidRDefault="00A35395">
      <w:pPr>
        <w:spacing w:after="120"/>
      </w:pPr>
    </w:p>
    <w:p w:rsidR="00A35395" w:rsidRDefault="009240DC">
      <w:pPr>
        <w:pStyle w:val="Ttulo2"/>
      </w:pPr>
      <w:r>
        <w:t>11.2 Indicadores de acompanhamento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00"/>
        <w:gridCol w:w="3238"/>
      </w:tblGrid>
      <w:tr w:rsidR="00A35395">
        <w:trPr>
          <w:cantSplit/>
          <w:tblHeader/>
        </w:trPr>
        <w:tc>
          <w:tcPr>
            <w:tcW w:w="6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0070C0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Indicador</w:t>
            </w:r>
          </w:p>
        </w:tc>
        <w:tc>
          <w:tcPr>
            <w:tcW w:w="32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0070C0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Meta indicativa</w:t>
            </w:r>
          </w:p>
        </w:tc>
      </w:tr>
      <w:tr w:rsidR="00A35395">
        <w:trPr>
          <w:cantSplit/>
        </w:trPr>
        <w:tc>
          <w:tcPr>
            <w:tcW w:w="6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 xml:space="preserve">% de </w:t>
            </w:r>
            <w:proofErr w:type="spellStart"/>
            <w:r>
              <w:rPr>
                <w:sz w:val="20"/>
                <w:szCs w:val="20"/>
              </w:rPr>
              <w:t>projectos</w:t>
            </w:r>
            <w:proofErr w:type="spellEnd"/>
            <w:r>
              <w:rPr>
                <w:sz w:val="20"/>
                <w:szCs w:val="20"/>
              </w:rPr>
              <w:t xml:space="preserve"> com dados de beneficiários desagregados por deficiência, sexo e idade</w:t>
            </w:r>
          </w:p>
        </w:tc>
        <w:tc>
          <w:tcPr>
            <w:tcW w:w="32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100%</w:t>
            </w:r>
          </w:p>
        </w:tc>
      </w:tr>
      <w:tr w:rsidR="00A35395">
        <w:trPr>
          <w:cantSplit/>
        </w:trPr>
        <w:tc>
          <w:tcPr>
            <w:tcW w:w="6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% de novas propostas com linha orçamental para inclusão/acessibilidade</w:t>
            </w:r>
          </w:p>
        </w:tc>
        <w:tc>
          <w:tcPr>
            <w:tcW w:w="32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100%</w:t>
            </w:r>
          </w:p>
        </w:tc>
      </w:tr>
      <w:tr w:rsidR="00A35395">
        <w:trPr>
          <w:cantSplit/>
        </w:trPr>
        <w:tc>
          <w:tcPr>
            <w:tcW w:w="6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% do pessoal e voluntários formados nesta política</w:t>
            </w:r>
          </w:p>
        </w:tc>
        <w:tc>
          <w:tcPr>
            <w:tcW w:w="32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≥ 90% no primeiro ano</w:t>
            </w:r>
          </w:p>
        </w:tc>
      </w:tr>
      <w:tr w:rsidR="00A35395">
        <w:trPr>
          <w:cantSplit/>
        </w:trPr>
        <w:tc>
          <w:tcPr>
            <w:tcW w:w="6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 xml:space="preserve">N.º de OPD com parceria </w:t>
            </w:r>
            <w:proofErr w:type="spellStart"/>
            <w:r>
              <w:rPr>
                <w:sz w:val="20"/>
                <w:szCs w:val="20"/>
              </w:rPr>
              <w:t>activa</w:t>
            </w:r>
            <w:proofErr w:type="spellEnd"/>
          </w:p>
        </w:tc>
        <w:tc>
          <w:tcPr>
            <w:tcW w:w="32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≥ 1 no primeiro ano</w:t>
            </w:r>
          </w:p>
        </w:tc>
      </w:tr>
      <w:tr w:rsidR="00A35395">
        <w:trPr>
          <w:cantSplit/>
        </w:trPr>
        <w:tc>
          <w:tcPr>
            <w:tcW w:w="6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 xml:space="preserve">% de locais de </w:t>
            </w:r>
            <w:proofErr w:type="spellStart"/>
            <w:r>
              <w:rPr>
                <w:sz w:val="20"/>
                <w:szCs w:val="20"/>
              </w:rPr>
              <w:t>actividade</w:t>
            </w:r>
            <w:proofErr w:type="spellEnd"/>
            <w:r>
              <w:rPr>
                <w:sz w:val="20"/>
                <w:szCs w:val="20"/>
              </w:rPr>
              <w:t xml:space="preserve"> avaliados quanto à acessibilidade</w:t>
            </w:r>
          </w:p>
        </w:tc>
        <w:tc>
          <w:tcPr>
            <w:tcW w:w="32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100%</w:t>
            </w:r>
          </w:p>
        </w:tc>
      </w:tr>
      <w:tr w:rsidR="00A35395">
        <w:trPr>
          <w:cantSplit/>
        </w:trPr>
        <w:tc>
          <w:tcPr>
            <w:tcW w:w="6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% de pedidos de acomodação razoável respondidos no prazo</w:t>
            </w:r>
          </w:p>
        </w:tc>
        <w:tc>
          <w:tcPr>
            <w:tcW w:w="32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100%</w:t>
            </w:r>
          </w:p>
        </w:tc>
      </w:tr>
      <w:tr w:rsidR="00A35395">
        <w:trPr>
          <w:cantSplit/>
        </w:trPr>
        <w:tc>
          <w:tcPr>
            <w:tcW w:w="6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N.º de pessoas com deficiência no pessoal e voluntariado</w:t>
            </w:r>
          </w:p>
        </w:tc>
        <w:tc>
          <w:tcPr>
            <w:tcW w:w="32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Aumento anual</w:t>
            </w:r>
          </w:p>
        </w:tc>
      </w:tr>
      <w:tr w:rsidR="00A35395">
        <w:trPr>
          <w:cantSplit/>
        </w:trPr>
        <w:tc>
          <w:tcPr>
            <w:tcW w:w="6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N.º de reclamações sobre discriminação por deficiência recebidas e resolvidas</w:t>
            </w:r>
          </w:p>
        </w:tc>
        <w:tc>
          <w:tcPr>
            <w:tcW w:w="32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3F6F9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:rsidR="00A35395" w:rsidRDefault="009240DC">
            <w:pPr>
              <w:spacing w:before="40" w:after="40"/>
            </w:pPr>
            <w:r>
              <w:rPr>
                <w:sz w:val="20"/>
                <w:szCs w:val="20"/>
              </w:rPr>
              <w:t>Todas resolvidas no prazo</w:t>
            </w:r>
          </w:p>
        </w:tc>
      </w:tr>
    </w:tbl>
    <w:p w:rsidR="00A35395" w:rsidRDefault="00A35395">
      <w:pPr>
        <w:spacing w:after="120"/>
      </w:pPr>
    </w:p>
    <w:p w:rsidR="00A35395" w:rsidRDefault="009240DC">
      <w:pPr>
        <w:pStyle w:val="Ttulo2"/>
      </w:pPr>
      <w:r>
        <w:t>11.3 Revisão</w:t>
      </w:r>
    </w:p>
    <w:p w:rsidR="000A16D9" w:rsidRDefault="009240DC" w:rsidP="000A16D9">
      <w:pPr>
        <w:spacing w:after="140" w:line="288" w:lineRule="auto"/>
        <w:jc w:val="both"/>
      </w:pPr>
      <w:r>
        <w:t>Esta política será revista a cada dois anos, ou antes se houver alterações legais, lições relevantes ou pedidos dos órgãos sociais, com a participação de pessoas com deficiência e de, pelo menos, uma OPD parceira.</w:t>
      </w:r>
    </w:p>
    <w:sectPr w:rsidR="000A16D9">
      <w:headerReference w:type="default" r:id="rId8"/>
      <w:footerReference w:type="default" r:id="rId9"/>
      <w:pgSz w:w="11906" w:h="16838"/>
      <w:pgMar w:top="1134" w:right="1134" w:bottom="1134" w:left="1134" w:header="708" w:footer="70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C5C91" w:rsidRDefault="001C5C91">
      <w:r>
        <w:separator/>
      </w:r>
    </w:p>
  </w:endnote>
  <w:endnote w:type="continuationSeparator" w:id="0">
    <w:p w:rsidR="001C5C91" w:rsidRDefault="001C5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35395" w:rsidRDefault="009240DC">
    <w:pPr>
      <w:jc w:val="center"/>
    </w:pPr>
    <w:r>
      <w:rPr>
        <w:color w:val="808080"/>
        <w:sz w:val="16"/>
        <w:szCs w:val="16"/>
      </w:rPr>
      <w:t xml:space="preserve">Página </w:t>
    </w:r>
    <w:r>
      <w:rPr>
        <w:color w:val="808080"/>
        <w:sz w:val="16"/>
        <w:szCs w:val="16"/>
      </w:rPr>
      <w:fldChar w:fldCharType="begin"/>
    </w:r>
    <w:r>
      <w:rPr>
        <w:color w:val="808080"/>
        <w:sz w:val="16"/>
        <w:szCs w:val="16"/>
      </w:rPr>
      <w:instrText>PAGE</w:instrText>
    </w:r>
    <w:r>
      <w:rPr>
        <w:color w:val="808080"/>
        <w:sz w:val="16"/>
        <w:szCs w:val="16"/>
      </w:rPr>
      <w:fldChar w:fldCharType="separate"/>
    </w:r>
    <w:r w:rsidR="000A16D9">
      <w:rPr>
        <w:noProof/>
        <w:color w:val="808080"/>
        <w:sz w:val="16"/>
        <w:szCs w:val="16"/>
      </w:rPr>
      <w:t>2</w:t>
    </w:r>
    <w:r>
      <w:rPr>
        <w:color w:val="80808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C5C91" w:rsidRDefault="001C5C91">
      <w:r>
        <w:separator/>
      </w:r>
    </w:p>
  </w:footnote>
  <w:footnote w:type="continuationSeparator" w:id="0">
    <w:p w:rsidR="001C5C91" w:rsidRDefault="001C5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35395" w:rsidRDefault="00A35395" w:rsidP="000A16D9">
    <w:pPr>
      <w:pBdr>
        <w:bottom w:val="single" w:sz="4" w:space="0" w:color="0070C0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3E3554"/>
    <w:multiLevelType w:val="hybridMultilevel"/>
    <w:tmpl w:val="25AE0BBA"/>
    <w:lvl w:ilvl="0" w:tplc="4CE8E324">
      <w:start w:val="1"/>
      <w:numFmt w:val="bullet"/>
      <w:lvlText w:val="•"/>
      <w:lvlJc w:val="left"/>
      <w:pPr>
        <w:ind w:left="540" w:hanging="270"/>
      </w:pPr>
      <w:rPr>
        <w:color w:val="00A04A"/>
      </w:rPr>
    </w:lvl>
    <w:lvl w:ilvl="1" w:tplc="627CAA5E">
      <w:numFmt w:val="decimal"/>
      <w:lvlText w:val=""/>
      <w:lvlJc w:val="left"/>
    </w:lvl>
    <w:lvl w:ilvl="2" w:tplc="686C6816">
      <w:numFmt w:val="decimal"/>
      <w:lvlText w:val=""/>
      <w:lvlJc w:val="left"/>
    </w:lvl>
    <w:lvl w:ilvl="3" w:tplc="9524F118">
      <w:numFmt w:val="decimal"/>
      <w:lvlText w:val=""/>
      <w:lvlJc w:val="left"/>
    </w:lvl>
    <w:lvl w:ilvl="4" w:tplc="C62E59AA">
      <w:numFmt w:val="decimal"/>
      <w:lvlText w:val=""/>
      <w:lvlJc w:val="left"/>
    </w:lvl>
    <w:lvl w:ilvl="5" w:tplc="3C0CF854">
      <w:numFmt w:val="decimal"/>
      <w:lvlText w:val=""/>
      <w:lvlJc w:val="left"/>
    </w:lvl>
    <w:lvl w:ilvl="6" w:tplc="4D565740">
      <w:numFmt w:val="decimal"/>
      <w:lvlText w:val=""/>
      <w:lvlJc w:val="left"/>
    </w:lvl>
    <w:lvl w:ilvl="7" w:tplc="9DC88E9C">
      <w:numFmt w:val="decimal"/>
      <w:lvlText w:val=""/>
      <w:lvlJc w:val="left"/>
    </w:lvl>
    <w:lvl w:ilvl="8" w:tplc="88FCCCEE">
      <w:numFmt w:val="decimal"/>
      <w:lvlText w:val=""/>
      <w:lvlJc w:val="left"/>
    </w:lvl>
  </w:abstractNum>
  <w:abstractNum w:abstractNumId="1" w15:restartNumberingAfterBreak="0">
    <w:nsid w:val="5D803597"/>
    <w:multiLevelType w:val="hybridMultilevel"/>
    <w:tmpl w:val="3FA4C89A"/>
    <w:lvl w:ilvl="0" w:tplc="4B4E7D7A">
      <w:start w:val="1"/>
      <w:numFmt w:val="bullet"/>
      <w:lvlText w:val="●"/>
      <w:lvlJc w:val="left"/>
      <w:pPr>
        <w:ind w:left="720" w:hanging="360"/>
      </w:pPr>
    </w:lvl>
    <w:lvl w:ilvl="1" w:tplc="34F8744E">
      <w:start w:val="1"/>
      <w:numFmt w:val="bullet"/>
      <w:lvlText w:val="○"/>
      <w:lvlJc w:val="left"/>
      <w:pPr>
        <w:ind w:left="1440" w:hanging="360"/>
      </w:pPr>
    </w:lvl>
    <w:lvl w:ilvl="2" w:tplc="517A3EB4">
      <w:start w:val="1"/>
      <w:numFmt w:val="bullet"/>
      <w:lvlText w:val="■"/>
      <w:lvlJc w:val="left"/>
      <w:pPr>
        <w:ind w:left="2160" w:hanging="360"/>
      </w:pPr>
    </w:lvl>
    <w:lvl w:ilvl="3" w:tplc="E6808460">
      <w:start w:val="1"/>
      <w:numFmt w:val="bullet"/>
      <w:lvlText w:val="●"/>
      <w:lvlJc w:val="left"/>
      <w:pPr>
        <w:ind w:left="2880" w:hanging="360"/>
      </w:pPr>
    </w:lvl>
    <w:lvl w:ilvl="4" w:tplc="EFEE1690">
      <w:start w:val="1"/>
      <w:numFmt w:val="bullet"/>
      <w:lvlText w:val="○"/>
      <w:lvlJc w:val="left"/>
      <w:pPr>
        <w:ind w:left="3600" w:hanging="360"/>
      </w:pPr>
    </w:lvl>
    <w:lvl w:ilvl="5" w:tplc="FC828A4A">
      <w:start w:val="1"/>
      <w:numFmt w:val="bullet"/>
      <w:lvlText w:val="■"/>
      <w:lvlJc w:val="left"/>
      <w:pPr>
        <w:ind w:left="4320" w:hanging="360"/>
      </w:pPr>
    </w:lvl>
    <w:lvl w:ilvl="6" w:tplc="DDD01B16">
      <w:start w:val="1"/>
      <w:numFmt w:val="bullet"/>
      <w:lvlText w:val="●"/>
      <w:lvlJc w:val="left"/>
      <w:pPr>
        <w:ind w:left="5040" w:hanging="360"/>
      </w:pPr>
    </w:lvl>
    <w:lvl w:ilvl="7" w:tplc="59DCCD54">
      <w:start w:val="1"/>
      <w:numFmt w:val="bullet"/>
      <w:lvlText w:val="●"/>
      <w:lvlJc w:val="left"/>
      <w:pPr>
        <w:ind w:left="5760" w:hanging="360"/>
      </w:pPr>
    </w:lvl>
    <w:lvl w:ilvl="8" w:tplc="88B4FA3C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9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395"/>
    <w:rsid w:val="000A16D9"/>
    <w:rsid w:val="001C5C91"/>
    <w:rsid w:val="007311FE"/>
    <w:rsid w:val="009240DC"/>
    <w:rsid w:val="00A35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2C386F1"/>
  <w15:docId w15:val="{9578BA70-A46C-9C48-A8D7-EEF22BD7F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keepNext/>
      <w:pBdr>
        <w:bottom w:val="single" w:sz="8" w:space="4" w:color="FFC000"/>
      </w:pBdr>
      <w:spacing w:before="360" w:after="180"/>
      <w:outlineLvl w:val="0"/>
    </w:pPr>
    <w:rPr>
      <w:b/>
      <w:bCs/>
      <w:color w:val="0070C0"/>
      <w:sz w:val="30"/>
      <w:szCs w:val="30"/>
    </w:rPr>
  </w:style>
  <w:style w:type="paragraph" w:styleId="Ttulo2">
    <w:name w:val="heading 2"/>
    <w:uiPriority w:val="9"/>
    <w:unhideWhenUsed/>
    <w:qFormat/>
    <w:pPr>
      <w:keepNext/>
      <w:spacing w:before="240" w:after="120"/>
      <w:outlineLvl w:val="1"/>
    </w:pPr>
    <w:rPr>
      <w:b/>
      <w:bCs/>
      <w:color w:val="00A04A"/>
      <w:sz w:val="25"/>
      <w:szCs w:val="25"/>
    </w:rPr>
  </w:style>
  <w:style w:type="paragraph" w:styleId="Ttulo3">
    <w:name w:val="heading 3"/>
    <w:uiPriority w:val="9"/>
    <w:unhideWhenUsed/>
    <w:qFormat/>
    <w:pPr>
      <w:keepNext/>
      <w:spacing w:before="160" w:after="80"/>
      <w:outlineLvl w:val="2"/>
    </w:pPr>
    <w:rPr>
      <w:b/>
      <w:bCs/>
      <w:color w:val="B07800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link w:val="TtuloCarter"/>
    <w:uiPriority w:val="10"/>
    <w:qFormat/>
    <w:rPr>
      <w:sz w:val="56"/>
      <w:szCs w:val="56"/>
    </w:rPr>
  </w:style>
  <w:style w:type="paragraph" w:customStyle="1" w:styleId="Forte1">
    <w:name w:val="Forte1"/>
    <w:qFormat/>
    <w:rPr>
      <w:b/>
      <w:bCs/>
    </w:rPr>
  </w:style>
  <w:style w:type="paragraph" w:styleId="PargrafodaLista">
    <w:name w:val="List Paragraph"/>
    <w:qFormat/>
  </w:style>
  <w:style w:type="character" w:styleId="Hiperligao">
    <w:name w:val="Hyperlink"/>
    <w:uiPriority w:val="99"/>
    <w:unhideWhenUsed/>
    <w:rPr>
      <w:color w:val="0563C1"/>
      <w:u w:val="single"/>
    </w:rPr>
  </w:style>
  <w:style w:type="character" w:styleId="Refdenotaderodap">
    <w:name w:val="footnote reference"/>
    <w:uiPriority w:val="99"/>
    <w:semiHidden/>
    <w:unhideWhenUsed/>
    <w:rPr>
      <w:vertAlign w:val="superscript"/>
    </w:rPr>
  </w:style>
  <w:style w:type="paragraph" w:styleId="Textodenotaderodap">
    <w:name w:val="footnote text"/>
    <w:link w:val="TextodenotaderodapCarter"/>
    <w:uiPriority w:val="99"/>
    <w:semiHidden/>
    <w:unhideWhenUsed/>
    <w:rPr>
      <w:sz w:val="20"/>
      <w:szCs w:val="20"/>
    </w:rPr>
  </w:style>
  <w:style w:type="character" w:customStyle="1" w:styleId="TextodenotaderodapCarter">
    <w:name w:val="Texto de nota de rodapé Caráter"/>
    <w:link w:val="Textodenotaderodap"/>
    <w:uiPriority w:val="99"/>
    <w:semiHidden/>
    <w:unhideWhenUsed/>
    <w:rPr>
      <w:sz w:val="20"/>
      <w:szCs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paragraph" w:styleId="Textodenotadefim">
    <w:name w:val="endnote text"/>
    <w:link w:val="TextodenotadefimCarter"/>
    <w:uiPriority w:val="99"/>
    <w:semiHidden/>
    <w:unhideWhenUsed/>
    <w:rPr>
      <w:sz w:val="20"/>
      <w:szCs w:val="20"/>
    </w:rPr>
  </w:style>
  <w:style w:type="character" w:customStyle="1" w:styleId="TextodenotadefimCarter">
    <w:name w:val="Texto de nota de fim Caráter"/>
    <w:link w:val="Textodenotadefim"/>
    <w:uiPriority w:val="99"/>
    <w:semiHidden/>
    <w:unhideWhenUsed/>
    <w:rPr>
      <w:sz w:val="20"/>
      <w:szCs w:val="20"/>
    </w:rPr>
  </w:style>
  <w:style w:type="paragraph" w:styleId="Cabealho">
    <w:name w:val="header"/>
    <w:basedOn w:val="Normal"/>
    <w:link w:val="CabealhoCarter"/>
    <w:uiPriority w:val="99"/>
    <w:unhideWhenUsed/>
    <w:rsid w:val="000A16D9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0A16D9"/>
  </w:style>
  <w:style w:type="paragraph" w:styleId="Rodap">
    <w:name w:val="footer"/>
    <w:basedOn w:val="Normal"/>
    <w:link w:val="RodapCarter"/>
    <w:uiPriority w:val="99"/>
    <w:unhideWhenUsed/>
    <w:rsid w:val="000A16D9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0A16D9"/>
  </w:style>
  <w:style w:type="paragraph" w:customStyle="1" w:styleId="ttulo10">
    <w:name w:val="título 1"/>
    <w:basedOn w:val="Normal"/>
    <w:next w:val="Normal"/>
    <w:link w:val="CarterdeTtulo1"/>
    <w:uiPriority w:val="1"/>
    <w:qFormat/>
    <w:rsid w:val="007311FE"/>
    <w:pPr>
      <w:keepNext/>
      <w:keepLines/>
      <w:spacing w:before="600" w:after="60" w:line="264" w:lineRule="auto"/>
      <w:outlineLvl w:val="0"/>
    </w:pPr>
    <w:rPr>
      <w:rFonts w:asciiTheme="majorHAnsi" w:eastAsiaTheme="majorEastAsia" w:hAnsiTheme="majorHAnsi" w:cstheme="majorBidi"/>
      <w:color w:val="4472C4" w:themeColor="accent1"/>
      <w:sz w:val="30"/>
      <w:szCs w:val="20"/>
      <w:lang w:val="pt-PT"/>
    </w:rPr>
  </w:style>
  <w:style w:type="character" w:customStyle="1" w:styleId="CarterdeTtulo1">
    <w:name w:val="Caráter de Título 1"/>
    <w:basedOn w:val="Tipodeletrapredefinidodopargrafo"/>
    <w:link w:val="ttulo10"/>
    <w:uiPriority w:val="1"/>
    <w:rsid w:val="007311FE"/>
    <w:rPr>
      <w:rFonts w:asciiTheme="majorHAnsi" w:eastAsiaTheme="majorEastAsia" w:hAnsiTheme="majorHAnsi" w:cstheme="majorBidi"/>
      <w:color w:val="4472C4" w:themeColor="accent1"/>
      <w:sz w:val="30"/>
      <w:szCs w:val="20"/>
      <w:lang w:val="pt-PT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7311FE"/>
    <w:rPr>
      <w:sz w:val="56"/>
      <w:szCs w:val="56"/>
    </w:rPr>
  </w:style>
  <w:style w:type="paragraph" w:customStyle="1" w:styleId="SemEspaos">
    <w:name w:val="Sem Espaços"/>
    <w:link w:val="CarterdeSemEspaos"/>
    <w:uiPriority w:val="1"/>
    <w:unhideWhenUsed/>
    <w:qFormat/>
    <w:rsid w:val="007311FE"/>
    <w:rPr>
      <w:rFonts w:asciiTheme="minorHAnsi" w:eastAsiaTheme="minorHAnsi" w:hAnsiTheme="minorHAnsi" w:cstheme="minorBidi"/>
      <w:sz w:val="20"/>
      <w:szCs w:val="20"/>
      <w:lang w:val="pt-PT"/>
    </w:rPr>
  </w:style>
  <w:style w:type="character" w:customStyle="1" w:styleId="CarterdeSemEspaos">
    <w:name w:val="Caráter de Sem Espaços"/>
    <w:basedOn w:val="Tipodeletrapredefinidodopargrafo"/>
    <w:link w:val="SemEspaos"/>
    <w:uiPriority w:val="1"/>
    <w:rsid w:val="007311FE"/>
    <w:rPr>
      <w:rFonts w:asciiTheme="minorHAnsi" w:eastAsiaTheme="minorHAnsi" w:hAnsiTheme="minorHAnsi" w:cstheme="minorBidi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12</Pages>
  <Words>3789</Words>
  <Characters>20466</Characters>
  <Application>Microsoft Office Word</Application>
  <DocSecurity>0</DocSecurity>
  <Lines>170</Lines>
  <Paragraphs>48</Paragraphs>
  <ScaleCrop>false</ScaleCrop>
  <Company/>
  <LinksUpToDate>false</LinksUpToDate>
  <CharactersWithSpaces>24207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Política de Inclusão de Pessoas com Deficiência</dc:title>
  <dc:creator>Associação SolidarChild</dc:creator>
  <cp:lastModifiedBy>Benesse Pedro Plácido</cp:lastModifiedBy>
  <cp:revision>3</cp:revision>
  <dcterms:created xsi:type="dcterms:W3CDTF">2026-09-24T14:54:00Z</dcterms:created>
  <dcterms:modified xsi:type="dcterms:W3CDTF">2026-09-24T15:20:00Z</dcterms:modified>
</cp:coreProperties>
</file>